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pPr w:horzAnchor="margin" w:tblpX="7268" w:tblpY="331" w:vertAnchor="page"/>
        <w:tblW w:type="auto" w:w="0"/>
        <w:tblLayout w:type="fixed"/>
        <w:tblCellMar>
          <w:left w:type="dxa" w:w="0"/>
          <w:right w:type="dxa" w:w="0"/>
        </w:tblCellMar>
      </w:tblPr>
      <w:tblGrid>
        <w:gridCol w:w="1581"/>
      </w:tblGrid>
      <w:tr>
        <w:trPr>
          <w:trHeight w:hRule="atLeast" w:val="454"/>
        </w:trPr>
        <w:tc>
          <w:tcPr>
            <w:tcW w:type="dxa" w:w="1581"/>
            <w:tcMar>
              <w:left w:type="dxa" w:w="0"/>
              <w:right w:type="dxa" w:w="0"/>
            </w:tcMar>
          </w:tcPr>
          <w:p w14:paraId="08000000">
            <w:pPr>
              <w:pStyle w:val="Style_4"/>
            </w:pPr>
          </w:p>
        </w:tc>
      </w:tr>
    </w:tbl>
    <w:p w14:paraId="09000000">
      <w:pPr>
        <w:widowControl w:val="0"/>
        <w:spacing w:after="0"/>
        <w:ind/>
      </w:pPr>
    </w:p>
    <w:tbl>
      <w:tblPr>
        <w:tblStyle w:val="Style_5"/>
        <w:tblpPr w:bottomFromText="0" w:horzAnchor="text" w:leftFromText="180" w:rightFromText="180" w:tblpX="-585" w:tblpY="1335" w:topFromText="0" w:vertAnchor="page"/>
        <w:tblW w:type="auto" w:w="0"/>
        <w:tblBorders>
          <w:top w:color="000000" w:sz="4" w:val="nil"/>
          <w:left w:color="000000" w:sz="4" w:val="nil"/>
          <w:right w:color="000000" w:sz="4" w:val="nil"/>
          <w:insideH w:color="000000" w:sz="4" w:val="nil"/>
          <w:insideV w:color="000000" w:sz="4" w:val="nil"/>
        </w:tblBorders>
        <w:tblLayout w:type="fixed"/>
      </w:tblPr>
      <w:tblGrid>
        <w:gridCol w:w="426"/>
        <w:gridCol w:w="708"/>
        <w:gridCol w:w="1418"/>
        <w:gridCol w:w="425"/>
        <w:gridCol w:w="1134"/>
      </w:tblGrid>
      <w:tr>
        <w:trPr>
          <w:trHeight w:hRule="exact" w:val="2430"/>
        </w:trPr>
        <w:tc>
          <w:tcPr>
            <w:tcW w:type="dxa" w:w="4111"/>
            <w:gridSpan w:val="5"/>
            <w:tcBorders>
              <w:top w:color="000000" w:sz="4" w:val="nil"/>
              <w:left w:color="000000" w:sz="4" w:val="nil"/>
              <w:bottom w:sz="4" w:val="nil"/>
              <w:right w:color="000000" w:sz="4" w:val="nil"/>
            </w:tcBorders>
          </w:tcPr>
          <w:p w14:paraId="0A000000">
            <w:pPr>
              <w:widowControl w:val="0"/>
              <w:spacing w:after="0" w:line="240" w:lineRule="auto"/>
              <w:ind w:firstLine="0" w:left="454"/>
              <w:jc w:val="center"/>
              <w:rPr>
                <w:rFonts w:ascii="Times New Roman" w:hAnsi="Times New Roman"/>
                <w:sz w:val="16"/>
              </w:rPr>
            </w:pPr>
          </w:p>
          <w:p w14:paraId="0B000000">
            <w:pPr>
              <w:widowControl w:val="0"/>
              <w:spacing w:after="0" w:line="240" w:lineRule="auto"/>
              <w:ind w:firstLine="0" w:left="454"/>
              <w:jc w:val="center"/>
              <w:rPr>
                <w:rFonts w:ascii="Times New Roman" w:hAnsi="Times New Roman"/>
                <w:sz w:val="24"/>
              </w:rPr>
            </w:pPr>
            <w:r>
              <w:rPr>
                <w:rFonts w:ascii="Times New Roman" w:hAnsi="Times New Roman"/>
                <w:sz w:val="24"/>
              </w:rPr>
              <w:t>ПРОКУРАТУРА</w:t>
            </w:r>
          </w:p>
          <w:p w14:paraId="0C000000">
            <w:pPr>
              <w:widowControl w:val="0"/>
              <w:spacing w:after="0" w:line="240" w:lineRule="auto"/>
              <w:ind w:firstLine="0" w:left="454"/>
              <w:jc w:val="center"/>
              <w:rPr>
                <w:rFonts w:ascii="Times New Roman" w:hAnsi="Times New Roman"/>
                <w:sz w:val="24"/>
              </w:rPr>
            </w:pPr>
            <w:r>
              <w:rPr>
                <w:rFonts w:ascii="Times New Roman" w:hAnsi="Times New Roman"/>
                <w:sz w:val="24"/>
              </w:rPr>
              <w:t>РОССИЙСКОЙ ФЕДЕРАЦИИ</w:t>
            </w:r>
          </w:p>
          <w:p w14:paraId="0D000000">
            <w:pPr>
              <w:widowControl w:val="0"/>
              <w:spacing w:after="0" w:before="120" w:line="252" w:lineRule="auto"/>
              <w:ind w:firstLine="0" w:left="454"/>
              <w:jc w:val="center"/>
              <w:rPr>
                <w:rFonts w:ascii="Times New Roman" w:hAnsi="Times New Roman"/>
                <w:b w:val="1"/>
                <w:sz w:val="24"/>
              </w:rPr>
            </w:pPr>
            <w:r>
              <w:rPr>
                <w:rFonts w:ascii="Times New Roman" w:hAnsi="Times New Roman"/>
                <w:b w:val="1"/>
                <w:sz w:val="24"/>
              </w:rPr>
              <w:t>ПРОКУРАТУРА  Костромского района</w:t>
            </w:r>
          </w:p>
          <w:p w14:paraId="0E000000">
            <w:pPr>
              <w:widowControl w:val="0"/>
              <w:spacing w:after="0" w:before="120" w:line="252" w:lineRule="auto"/>
              <w:ind w:firstLine="0" w:left="454"/>
              <w:jc w:val="center"/>
              <w:rPr>
                <w:rFonts w:ascii="Times New Roman" w:hAnsi="Times New Roman"/>
                <w:sz w:val="20"/>
              </w:rPr>
            </w:pPr>
            <w:r>
              <w:rPr>
                <w:rFonts w:ascii="Times New Roman" w:hAnsi="Times New Roman"/>
                <w:sz w:val="20"/>
              </w:rPr>
              <w:t xml:space="preserve">пр-т Мира, 1/2,                           г.Кострома, 156000, </w:t>
            </w:r>
          </w:p>
          <w:p w14:paraId="0F000000">
            <w:pPr>
              <w:widowControl w:val="0"/>
              <w:spacing w:after="0" w:line="252" w:lineRule="auto"/>
              <w:ind w:firstLine="0" w:left="454"/>
              <w:jc w:val="center"/>
              <w:rPr>
                <w:rFonts w:ascii="Times New Roman" w:hAnsi="Times New Roman"/>
                <w:sz w:val="20"/>
              </w:rPr>
            </w:pPr>
            <w:r>
              <w:rPr>
                <w:rFonts w:ascii="Times New Roman" w:hAnsi="Times New Roman"/>
                <w:sz w:val="20"/>
              </w:rPr>
              <w:t>тел. 45-47-32</w:t>
            </w:r>
          </w:p>
          <w:p w14:paraId="10000000">
            <w:pPr>
              <w:widowControl w:val="0"/>
              <w:spacing w:after="0" w:line="240" w:lineRule="auto"/>
              <w:ind/>
              <w:jc w:val="center"/>
              <w:rPr>
                <w:rFonts w:ascii="Times New Roman" w:hAnsi="Times New Roman"/>
                <w:sz w:val="20"/>
              </w:rPr>
            </w:pPr>
          </w:p>
        </w:tc>
      </w:tr>
      <w:tr>
        <w:trPr>
          <w:trHeight w:hRule="exact" w:val="397"/>
        </w:trPr>
        <w:tc>
          <w:tcPr>
            <w:tcW w:type="dxa" w:w="426"/>
            <w:tcBorders>
              <w:top w:color="000000" w:sz="4" w:val="nil"/>
              <w:left w:color="000000" w:sz="4" w:val="nil"/>
              <w:bottom w:sz="4" w:val="nil"/>
              <w:right w:color="000000" w:sz="4" w:val="nil"/>
            </w:tcBorders>
            <w:tcFitText w:val="1"/>
            <w:vAlign w:val="center"/>
          </w:tcPr>
          <w:p w14:paraId="11000000">
            <w:pPr>
              <w:widowControl w:val="0"/>
              <w:spacing w:after="0" w:line="240" w:lineRule="auto"/>
              <w:ind/>
              <w:jc w:val="center"/>
              <w:rPr>
                <w:rFonts w:ascii="Times New Roman" w:hAnsi="Times New Roman"/>
              </w:rPr>
            </w:pPr>
          </w:p>
        </w:tc>
        <w:tc>
          <w:tcPr>
            <w:tcW w:type="dxa" w:w="3685"/>
            <w:gridSpan w:val="4"/>
            <w:tcBorders>
              <w:top w:color="000000" w:sz="4" w:val="nil"/>
              <w:left w:color="000000" w:sz="4" w:val="nil"/>
              <w:bottom w:sz="4" w:val="nil"/>
              <w:right w:color="000000" w:sz="4" w:val="nil"/>
            </w:tcBorders>
            <w:tcFitText w:val="1"/>
            <w:vAlign w:val="center"/>
          </w:tcPr>
          <w:p w14:paraId="12000000">
            <w:pPr>
              <w:widowControl w:val="0"/>
              <w:spacing w:after="0" w:line="240" w:lineRule="auto"/>
              <w:ind/>
              <w:rPr>
                <w:rFonts w:ascii="Times New Roman" w:hAnsi="Times New Roman"/>
              </w:rPr>
            </w:pPr>
            <w:bookmarkStart w:id="3" w:name="REGNUMDATESTAMP"/>
            <w:bookmarkEnd w:id="3"/>
          </w:p>
        </w:tc>
      </w:tr>
    </w:tbl>
    <w:p w14:paraId="13000000">
      <w:pPr>
        <w:widowControl w:val="0"/>
        <w:spacing w:after="0" w:line="240" w:lineRule="exact"/>
        <w:ind/>
        <w:rPr>
          <w:rFonts w:ascii="Times New Roman" w:hAnsi="Times New Roman"/>
          <w:color w:val="000000"/>
          <w:sz w:val="28"/>
        </w:rPr>
      </w:pPr>
    </w:p>
    <w:tbl>
      <w:tblPr>
        <w:tblStyle w:val="Style_5"/>
        <w:tblpPr w:bottomFromText="0" w:horzAnchor="margin" w:leftFromText="181" w:rightFromText="181" w:tblpX="4620" w:tblpY="1390" w:topFromText="0" w:vertAnchor="page"/>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245"/>
      </w:tblGrid>
      <w:tr>
        <w:tc>
          <w:tcPr>
            <w:tcW w:type="dxa" w:w="5245"/>
            <w:tcBorders>
              <w:top w:color="000000" w:sz="4" w:val="nil"/>
              <w:left w:color="000000" w:sz="4" w:val="nil"/>
              <w:bottom w:color="000000" w:sz="4" w:val="nil"/>
              <w:right w:color="000000" w:sz="4" w:val="nil"/>
            </w:tcBorders>
          </w:tcPr>
          <w:p w14:paraId="14000000">
            <w:pPr>
              <w:pStyle w:val="Style_6"/>
              <w:widowControl w:val="0"/>
              <w:spacing w:after="0" w:line="240" w:lineRule="exact"/>
              <w:ind w:right="-108"/>
              <w:jc w:val="both"/>
              <w:rPr>
                <w:rFonts w:ascii="Times New Roman" w:hAnsi="Times New Roman"/>
                <w:sz w:val="28"/>
              </w:rPr>
            </w:pPr>
          </w:p>
          <w:p w14:paraId="15000000">
            <w:pPr>
              <w:widowControl w:val="0"/>
              <w:tabs>
                <w:tab w:leader="none" w:pos="708" w:val="left"/>
                <w:tab w:leader="none" w:pos="4153" w:val="center"/>
                <w:tab w:leader="none" w:pos="8306" w:val="right"/>
              </w:tabs>
              <w:spacing w:after="0" w:line="240" w:lineRule="exact"/>
              <w:ind/>
              <w:jc w:val="both"/>
              <w:rPr>
                <w:rFonts w:ascii="Times New Roman" w:hAnsi="Times New Roman"/>
                <w:sz w:val="28"/>
              </w:rPr>
            </w:pPr>
            <w:r>
              <w:rPr>
                <w:rFonts w:ascii="Times New Roman" w:hAnsi="Times New Roman"/>
                <w:sz w:val="28"/>
              </w:rPr>
              <w:t>Врио главы администрации Костромского муниципального района Костромской области</w:t>
            </w:r>
          </w:p>
          <w:p w14:paraId="16000000">
            <w:pPr>
              <w:widowControl w:val="0"/>
              <w:tabs>
                <w:tab w:leader="none" w:pos="708" w:val="left"/>
                <w:tab w:leader="none" w:pos="4153" w:val="center"/>
                <w:tab w:leader="none" w:pos="8306" w:val="right"/>
              </w:tabs>
              <w:spacing w:after="0" w:line="240" w:lineRule="exact"/>
              <w:ind/>
              <w:jc w:val="both"/>
              <w:rPr>
                <w:rFonts w:ascii="Times New Roman" w:hAnsi="Times New Roman"/>
                <w:sz w:val="28"/>
              </w:rPr>
            </w:pPr>
          </w:p>
          <w:p w14:paraId="17000000">
            <w:pPr>
              <w:widowControl w:val="0"/>
              <w:tabs>
                <w:tab w:leader="none" w:pos="708" w:val="left"/>
                <w:tab w:leader="none" w:pos="4153" w:val="center"/>
                <w:tab w:leader="none" w:pos="8306" w:val="right"/>
              </w:tabs>
              <w:spacing w:after="0" w:line="240" w:lineRule="exact"/>
              <w:ind/>
              <w:jc w:val="both"/>
              <w:rPr>
                <w:rFonts w:ascii="Times New Roman" w:hAnsi="Times New Roman"/>
                <w:sz w:val="28"/>
              </w:rPr>
            </w:pPr>
            <w:r>
              <w:rPr>
                <w:rFonts w:ascii="Times New Roman" w:hAnsi="Times New Roman"/>
                <w:sz w:val="28"/>
              </w:rPr>
              <w:t>Нагацкому В.Г.</w:t>
            </w:r>
          </w:p>
          <w:p w14:paraId="18000000">
            <w:pPr>
              <w:widowControl w:val="0"/>
              <w:spacing w:after="240" w:before="240" w:line="240" w:lineRule="exact"/>
              <w:ind w:firstLine="0" w:left="0" w:right="0"/>
              <w:jc w:val="both"/>
              <w:rPr>
                <w:rFonts w:ascii="Times New Roman" w:hAnsi="Times New Roman"/>
                <w:b w:val="0"/>
                <w:i w:val="0"/>
                <w:caps w:val="0"/>
                <w:color w:val="000000"/>
                <w:spacing w:val="0"/>
                <w:sz w:val="28"/>
              </w:rPr>
            </w:pPr>
          </w:p>
          <w:p w14:paraId="19000000">
            <w:pPr>
              <w:widowControl w:val="0"/>
              <w:spacing w:after="240" w:before="240" w:line="240" w:lineRule="exact"/>
              <w:ind w:firstLine="0" w:left="0" w:right="0"/>
              <w:jc w:val="both"/>
              <w:rPr>
                <w:rFonts w:ascii="Times New Roman" w:hAnsi="Times New Roman"/>
                <w:b w:val="0"/>
                <w:i w:val="0"/>
                <w:caps w:val="0"/>
                <w:color w:val="000000"/>
                <w:spacing w:val="0"/>
                <w:sz w:val="28"/>
              </w:rPr>
            </w:pPr>
            <w:r>
              <w:rPr>
                <w:rFonts w:ascii="Times New Roman" w:hAnsi="Times New Roman"/>
                <w:sz w:val="28"/>
              </w:rPr>
              <w:t>Главам администраций сельских поселений Костромского муниципального района</w:t>
            </w:r>
          </w:p>
        </w:tc>
      </w:tr>
    </w:tbl>
    <w:p w14:paraId="1A000000">
      <w:pPr>
        <w:widowControl w:val="0"/>
        <w:spacing w:after="0" w:line="240" w:lineRule="exact"/>
        <w:ind/>
        <w:rPr>
          <w:rFonts w:ascii="Times New Roman" w:hAnsi="Times New Roman"/>
          <w:color w:val="000000"/>
          <w:sz w:val="28"/>
        </w:rPr>
      </w:pPr>
    </w:p>
    <w:p w14:paraId="1B000000">
      <w:pPr>
        <w:widowControl w:val="0"/>
        <w:spacing w:after="0" w:line="240" w:lineRule="exact"/>
        <w:ind/>
        <w:rPr>
          <w:rFonts w:ascii="Times New Roman" w:hAnsi="Times New Roman"/>
          <w:color w:val="000000"/>
          <w:sz w:val="28"/>
        </w:rPr>
      </w:pPr>
      <w:r>
        <w:rPr>
          <w:rFonts w:ascii="Times New Roman" w:hAnsi="Times New Roman"/>
        </w:rPr>
        <w:drawing>
          <wp:anchor allowOverlap="true" behindDoc="true" distL="114300" distR="114300" layoutInCell="true" locked="false" relativeHeight="251658240" simplePos="false">
            <wp:simplePos x="0" y="0"/>
            <wp:positionH relativeFrom="column">
              <wp:posOffset>742199</wp:posOffset>
            </wp:positionH>
            <wp:positionV relativeFrom="page">
              <wp:posOffset>199159</wp:posOffset>
            </wp:positionV>
            <wp:extent cx="720000" cy="720000"/>
            <wp:effectExtent b="0" l="0" r="0" t="0"/>
            <wp:wrapNone/>
            <wp:docPr hidden="false" id="1" name="Picture 1"/>
            <a:graphic>
              <a:graphicData uri="http://schemas.openxmlformats.org/drawingml/2006/picture">
                <pic:pic>
                  <pic:nvPicPr>
                    <pic:cNvPr hidden="false" id="2" name="Picture 2"/>
                    <pic:cNvPicPr preferRelativeResize="true"/>
                  </pic:nvPicPr>
                  <pic:blipFill>
                    <a:blip r:embed="rId3"/>
                    <a:srcRect b="0" l="0" r="0" t="0"/>
                    <a:stretch/>
                  </pic:blipFill>
                  <pic:spPr>
                    <a:xfrm flipH="false" flipV="false" rot="0">
                      <a:ext cx="720000" cy="720000"/>
                    </a:xfrm>
                    <a:prstGeom prst="rect"/>
                  </pic:spPr>
                </pic:pic>
              </a:graphicData>
            </a:graphic>
          </wp:anchor>
        </w:drawing>
      </w:r>
    </w:p>
    <w:p w14:paraId="1C000000">
      <w:pPr>
        <w:widowControl w:val="0"/>
        <w:spacing w:after="0" w:line="240" w:lineRule="exact"/>
        <w:ind/>
        <w:rPr>
          <w:rFonts w:ascii="Times New Roman" w:hAnsi="Times New Roman"/>
          <w:color w:val="000000"/>
          <w:sz w:val="28"/>
        </w:rPr>
      </w:pPr>
    </w:p>
    <w:p w14:paraId="1D000000">
      <w:pPr>
        <w:widowControl w:val="0"/>
        <w:tabs>
          <w:tab w:leader="none" w:pos="4395" w:val="left"/>
        </w:tabs>
        <w:spacing w:after="0" w:line="240" w:lineRule="exact"/>
        <w:ind/>
        <w:rPr>
          <w:rFonts w:ascii="Times New Roman" w:hAnsi="Times New Roman"/>
          <w:color w:val="000000"/>
          <w:sz w:val="28"/>
        </w:rPr>
      </w:pPr>
    </w:p>
    <w:p w14:paraId="1E000000">
      <w:pPr>
        <w:widowControl w:val="0"/>
        <w:tabs>
          <w:tab w:leader="none" w:pos="4395" w:val="left"/>
        </w:tabs>
        <w:spacing w:after="0" w:line="240" w:lineRule="exact"/>
        <w:ind/>
        <w:rPr>
          <w:rFonts w:ascii="Times New Roman" w:hAnsi="Times New Roman"/>
          <w:color w:val="000000"/>
          <w:sz w:val="28"/>
        </w:rPr>
      </w:pPr>
    </w:p>
    <w:p w14:paraId="1F000000">
      <w:pPr>
        <w:widowControl w:val="0"/>
        <w:spacing w:after="0" w:line="240" w:lineRule="exact"/>
        <w:ind/>
        <w:rPr>
          <w:rFonts w:ascii="Times New Roman" w:hAnsi="Times New Roman"/>
          <w:color w:val="000000"/>
          <w:sz w:val="28"/>
        </w:rPr>
      </w:pPr>
    </w:p>
    <w:p w14:paraId="20000000">
      <w:pPr>
        <w:widowControl w:val="0"/>
        <w:spacing w:after="0" w:line="240" w:lineRule="exact"/>
        <w:ind/>
        <w:rPr>
          <w:rFonts w:ascii="Times New Roman" w:hAnsi="Times New Roman"/>
          <w:color w:val="000000"/>
          <w:sz w:val="28"/>
        </w:rPr>
      </w:pPr>
    </w:p>
    <w:p w14:paraId="21000000">
      <w:pPr>
        <w:widowControl w:val="0"/>
        <w:spacing w:after="0" w:line="240" w:lineRule="exact"/>
        <w:ind/>
        <w:rPr>
          <w:rFonts w:ascii="Times New Roman" w:hAnsi="Times New Roman"/>
          <w:color w:val="000000"/>
          <w:sz w:val="28"/>
        </w:rPr>
      </w:pPr>
    </w:p>
    <w:p w14:paraId="22000000">
      <w:pPr>
        <w:widowControl w:val="0"/>
        <w:spacing w:after="0" w:line="240" w:lineRule="exact"/>
        <w:ind/>
        <w:rPr>
          <w:rFonts w:ascii="Times New Roman" w:hAnsi="Times New Roman"/>
          <w:color w:val="000000"/>
          <w:sz w:val="28"/>
        </w:rPr>
      </w:pPr>
    </w:p>
    <w:p w14:paraId="23000000">
      <w:pPr>
        <w:widowControl w:val="0"/>
        <w:spacing w:after="0" w:line="240" w:lineRule="exact"/>
        <w:ind/>
        <w:rPr>
          <w:rFonts w:ascii="Times New Roman" w:hAnsi="Times New Roman"/>
          <w:color w:val="000000"/>
          <w:sz w:val="28"/>
        </w:rPr>
      </w:pPr>
    </w:p>
    <w:p w14:paraId="24000000">
      <w:pPr>
        <w:widowControl w:val="0"/>
        <w:spacing w:after="0" w:line="240" w:lineRule="auto"/>
        <w:ind w:firstLine="708" w:left="0"/>
        <w:jc w:val="center"/>
        <w:rPr>
          <w:rFonts w:ascii="Times New Roman" w:hAnsi="Times New Roman"/>
          <w:color w:val="000000"/>
          <w:sz w:val="28"/>
        </w:rPr>
      </w:pPr>
    </w:p>
    <w:p w14:paraId="25000000">
      <w:pPr>
        <w:widowControl w:val="0"/>
        <w:tabs>
          <w:tab w:leader="none" w:pos="708" w:val="left"/>
          <w:tab w:leader="none" w:pos="4153" w:val="center"/>
          <w:tab w:leader="none" w:pos="8306" w:val="right"/>
        </w:tabs>
        <w:spacing w:after="0" w:line="240" w:lineRule="exact"/>
        <w:ind/>
        <w:contextualSpacing w:val="1"/>
        <w:jc w:val="both"/>
        <w:rPr>
          <w:rFonts w:ascii="Times New Roman" w:hAnsi="Times New Roman"/>
          <w:b w:val="1"/>
          <w:sz w:val="28"/>
        </w:rPr>
      </w:pPr>
    </w:p>
    <w:p w14:paraId="26000000">
      <w:pPr>
        <w:widowControl w:val="0"/>
        <w:tabs>
          <w:tab w:leader="none" w:pos="708" w:val="left"/>
          <w:tab w:leader="none" w:pos="4153" w:val="center"/>
          <w:tab w:leader="none" w:pos="8306" w:val="right"/>
        </w:tabs>
        <w:spacing w:after="0" w:line="240" w:lineRule="exact"/>
        <w:ind/>
        <w:contextualSpacing w:val="1"/>
        <w:jc w:val="both"/>
        <w:rPr>
          <w:rFonts w:ascii="Times New Roman" w:hAnsi="Times New Roman"/>
          <w:b w:val="1"/>
          <w:sz w:val="28"/>
        </w:rPr>
      </w:pPr>
    </w:p>
    <w:p w14:paraId="27000000">
      <w:pPr>
        <w:widowControl w:val="0"/>
        <w:tabs>
          <w:tab w:leader="none" w:pos="708" w:val="left"/>
          <w:tab w:leader="none" w:pos="4153" w:val="center"/>
          <w:tab w:leader="none" w:pos="8306" w:val="right"/>
        </w:tabs>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Направляю Вам для опубликования в официальных печатных изданиях муниципального района и сельских поселений разъяснения законодательства на следующие темы:</w:t>
      </w:r>
    </w:p>
    <w:p w14:paraId="28000000">
      <w:pPr>
        <w:widowControl w:val="0"/>
        <w:tabs>
          <w:tab w:leader="none" w:pos="708" w:val="left"/>
          <w:tab w:leader="none" w:pos="4153" w:val="center"/>
          <w:tab w:leader="none" w:pos="8306" w:val="right"/>
        </w:tabs>
        <w:spacing w:after="0" w:line="240" w:lineRule="auto"/>
        <w:ind/>
        <w:jc w:val="both"/>
        <w:rPr>
          <w:rFonts w:ascii="Times New Roman" w:hAnsi="Times New Roman"/>
          <w:sz w:val="28"/>
        </w:rPr>
      </w:pPr>
    </w:p>
    <w:p w14:paraId="29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 «</w:t>
      </w:r>
      <w:r>
        <w:rPr>
          <w:rFonts w:ascii="Times New Roman" w:hAnsi="Times New Roman"/>
          <w:b w:val="0"/>
          <w:sz w:val="28"/>
        </w:rPr>
        <w:t>Разъяснен порядок изменения видов разрешенного использования земельных участков» (Письмо Росреестра от 15.04.2026 № 14-4104-ЛЛ/26 «По отдельным вопросам, связанным с реализацией положений Федерального закона от 31.07.2025 № 295-ФЗ»).</w:t>
      </w:r>
    </w:p>
    <w:p w14:paraId="2A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Даны разъяснения по следующим вопросам, связанным с реализацией положений Федерального закона от 31.07.2025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B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об изменении вида разрешенного использования земельного участка, находящегося в государственной или муниципальной собственности и предоставленного в аренду, безвозмездное пользование;</w:t>
      </w:r>
    </w:p>
    <w:p w14:paraId="2C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о порядке внесения в ЕГРН сведений о виде разрешенного использования земельных участков и об изменении вида разрешенного использования;</w:t>
      </w:r>
    </w:p>
    <w:p w14:paraId="2D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об изменении видов разрешенного использования садовых и огородных земельных участков;</w:t>
      </w:r>
    </w:p>
    <w:p w14:paraId="2E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об изменении вида разрешенного использования земельных участков в ликвидированных садоводческих товариществах.</w:t>
      </w:r>
    </w:p>
    <w:p w14:paraId="2F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sz w:val="28"/>
        </w:rPr>
      </w:pPr>
    </w:p>
    <w:p w14:paraId="30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2. «</w:t>
      </w:r>
      <w:r>
        <w:rPr>
          <w:rFonts w:ascii="Times New Roman" w:hAnsi="Times New Roman"/>
          <w:b w:val="0"/>
          <w:sz w:val="28"/>
        </w:rPr>
        <w:t xml:space="preserve">Минстрой: признание прибора учета после его поверки исправным является определяющим обстоятельством для проведения перерасчета платы за коммунальные услуги потребителю исходя из показаний исправного ИПУ» (Письмо Минстроя России от 27.04.2026 № 9765-ОГ/00 «Об оплате коммунальных услуг в случаях нарушения потребителем срока проверки приборов учета»). </w:t>
      </w:r>
    </w:p>
    <w:p w14:paraId="31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Указанный вывод соответствует положениям части 1 статьи 157 Жилищного кодекса РФ, которой предусмотрено, что порядок определения размера платы за коммунальные услуги расчетным способом, в том числе исходя из нормативов потребления коммунальных услуг, применяется в отсутствие приборов учета, к чему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(далее - Правила № 354), приравнивается случай неисправности ИПУ.</w:t>
      </w:r>
    </w:p>
    <w:p w14:paraId="32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Перерасчет платы за коммунальную услугу в таком случае проводится в порядке, указанном в пункте 61 Правил № 354, в соответствии с которым исполнитель определяет объем коммунальной услуги, который подлежит оплате потребителем исходя из показаний прибора учета за весь период, за который такие показания не учитывались, после чего определяет разницу относительно начисленного за соответствующий период объема коммунальной услуги в соответствии с пунктами 59 и 60 Правил № 354.</w:t>
      </w:r>
    </w:p>
    <w:p w14:paraId="33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По результатам перерасчета исполнитель обязан в сроки, установленные для оплаты коммунальной услуги за соответствующий расчетный период, направить потребителю требование о внесении доначисленной платы за предоставленную потребителю коммунальную услугу либо уведомление о размере платы за коммунальную услугу, излишне начисленной потребителю. Излишне уплаченные потребителем суммы подлежат зачету при оплате будущих расчетных периодов.</w:t>
      </w:r>
    </w:p>
    <w:p w14:paraId="34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sz w:val="28"/>
        </w:rPr>
      </w:pPr>
    </w:p>
    <w:p w14:paraId="35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3.</w:t>
      </w:r>
      <w:r>
        <w:rPr>
          <w:rFonts w:ascii="Times New Roman" w:hAnsi="Times New Roman"/>
          <w:b w:val="0"/>
          <w:sz w:val="28"/>
        </w:rPr>
        <w:t xml:space="preserve"> «</w:t>
      </w:r>
      <w:r>
        <w:rPr>
          <w:rFonts w:ascii="Times New Roman" w:hAnsi="Times New Roman"/>
          <w:b w:val="0"/>
          <w:sz w:val="28"/>
        </w:rPr>
        <w:t>Даны разъяснения по вопросу предоставления коммунальных услуг управляющими организациями и ресурсоснабжающими организациями» (Письмо Минстроя России от 30.04.2026 № 10278-ОГ/00 «Об оказании услуг управляющими и ресурсоснабжающими организациями»).</w:t>
      </w:r>
    </w:p>
    <w:p w14:paraId="36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Сообщается, в частности, что управляющая организация по договору управления МКД обязуется выполнять работы и (или) оказывать услуги по управлению МКД, по надлежащему содержанию и ремонту общего имущества в таком доме, предоставлять коммунальные услуги собственникам помещений в этом доме, если собственниками не заключены договоры, содержащие положения о предоставлении коммунальных услуг, с соответствующими ресурсоснабжающими организациями (далее - РСО) в порядке, предусмотренном статьей 157.2 ЖК РФ.</w:t>
      </w:r>
    </w:p>
    <w:p w14:paraId="37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Обязанность управляющей организации выполнять работы и оказывать услуги с надлежащим качеством не зависит от наличия или отсутствия задолженностей собственников помещений в МКД, а также не зависит от состояния взаиморасчетов управляющей организации с другими контрагентами, включая РСО.</w:t>
      </w:r>
    </w:p>
    <w:p w14:paraId="38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Частью 1 статьи 157.2 ЖК РФ установлен перечень случаев, в которых при управлении МКД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МКД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предоставляются РСО в соответствии с заключенными с каждым собственником помещения в МКД, действующим от своего имени, договором, содержащим положения о предоставлении коммунальных услуг (далее - прямой договор). При заключении прямого договора исполнителем коммунальной услуги является соответствующая РСО. В указанном случае плата за коммунальную услугу вносится в пользу РСО.</w:t>
      </w:r>
    </w:p>
    <w:p w14:paraId="39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В случае предоставления коммунальных услуг ненадлежащего качества и (или) с перерывами, превышающими допустимую продолжительность, размер платы за коммунальные услуги подлежит уменьшению в порядке, предусмотренном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6 мая 2011 года №354.</w:t>
      </w:r>
    </w:p>
    <w:p w14:paraId="3A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sz w:val="28"/>
        </w:rPr>
      </w:pPr>
    </w:p>
    <w:p w14:paraId="3B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4. «</w:t>
      </w:r>
      <w:r>
        <w:rPr>
          <w:rFonts w:ascii="Times New Roman" w:hAnsi="Times New Roman"/>
          <w:b w:val="0"/>
          <w:sz w:val="28"/>
        </w:rPr>
        <w:t>Определены дополнительные периоды службы, включаемые в выслугу лет в льготном исчислении, для назначения пенсий уволенным со службы военнослужащим силовых ведомств» (Постановление Правительства РФ от 30.04.2026 № 511 «О внесении изменений в постановление Совета Министров – Правительства Российской Федерации от 22.09.1993 № 941»).</w:t>
      </w:r>
    </w:p>
    <w:p w14:paraId="3C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Речь идет о периодах участия в боевых действиях лиц, пребывавших в добровольческих формированиях, а также времени непрерывного нахождения на лечении в госпиталях в случае получения ранения, контузии, увечья или заболевания в связи с участием в боевых действиях (выполнением задач контртеррористических операций).</w:t>
      </w:r>
    </w:p>
    <w:p w14:paraId="3D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Также утверждена форма Справки о периодах пребывания в добровольческих формированиях, созданных в соответствии с Федеральным законом «Об обороне», подлежащих зачету в выслугу лет для назначения пенсии.</w:t>
      </w:r>
    </w:p>
    <w:p w14:paraId="3E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sz w:val="28"/>
        </w:rPr>
      </w:pPr>
    </w:p>
    <w:p w14:paraId="3F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5. «</w:t>
      </w:r>
      <w:r>
        <w:rPr>
          <w:rFonts w:ascii="Times New Roman" w:hAnsi="Times New Roman"/>
          <w:b w:val="0"/>
          <w:sz w:val="28"/>
        </w:rPr>
        <w:t>Внесены изменения в Правила проведения экзаменов на право управления транспортными средствами и выдачи водительских удостоверений» (Постановление Правительства РФ от 30.04.2026 № 508 «О внесении изменений в постановление Правительства РФ от 24.10.2014 № 1097»).</w:t>
      </w:r>
    </w:p>
    <w:p w14:paraId="40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Уточняются сроки назначения практического экзамена после сдачи кандидатом в водители теоретического экзамена: такой практический экзамен назначается не позднее 60 календарных дней со дня сдачи теоретического экзамена.</w:t>
      </w:r>
    </w:p>
    <w:p w14:paraId="41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Устанавливается, что проведение экзаменов, выдача российского национального и международного водительских удостоверений будут прекращаться в случае использования кандидатом в водители в ходе проведения экзамена средств связи, фото-, аудио- и видеоаппаратуры, электронно-вычислительной техники, справочных материалов и иных средств хранения и передачи информации. Результаты экзаменов в указанном случае также полежат аннулированию.</w:t>
      </w:r>
    </w:p>
    <w:p w14:paraId="42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Дополняются требования к автоматизированной системе (аппаратно-программному комплексу) для проведения теоретического экзамена - указанная система должна обеспечивать фотографирование кандидата в водители в процессе проведения теоретического экзамена. Также, согласно внесенным изменениям, в помещениях подразделений Госавтоинспекции МВД России, в которых проводится теоретический экзамен, должны быть установлены средства аудио- и видеорегистрации процесса проведения теоретического экзамена. В зону видимости указанных средств аудио- и видеозаписи должны попадать рабочие места экзаменатора и кандидатов в водители.</w:t>
      </w:r>
    </w:p>
    <w:p w14:paraId="43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Кроме этого, реализованы нормы Федерального закона от 7 июля 2025 года № 200-ФЗ, которым меняется порядок проведения внеочередного обязательного медицинского освидетельствования водителей транспортных средств. Так, в частности, закрепляются положения, освобождающие заявителя от представления медицинского заключения при наличии сведений о нем в федеральном реестре документов, содержащем сведения о результатах медицинских освидетельствований. Эти изменения вступают в силу с 1 марта 2027 года (с момента вступления в силу Федерального закона № 200-ФЗ).</w:t>
      </w:r>
    </w:p>
    <w:p w14:paraId="44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sz w:val="28"/>
        </w:rPr>
      </w:pPr>
    </w:p>
    <w:p w14:paraId="45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6. «</w:t>
      </w:r>
      <w:r>
        <w:rPr>
          <w:rFonts w:ascii="Times New Roman" w:hAnsi="Times New Roman"/>
          <w:b w:val="0"/>
          <w:sz w:val="28"/>
        </w:rPr>
        <w:t>Обновлен порядок взимания платы за предоставление сведений, содержащихся в Едином государственном реестре недвижимости (ЕГРН)» (Приказ Росреестра от 25.02.2026 № П/0101/26 «Об утверждении порядка взимания и возврата платы за предоставление сведений, содержащихся в ЕГРН, и иной информации», зарегистрирован в Минюсте России от 04.05.2026 № 86311).</w:t>
      </w:r>
    </w:p>
    <w:p w14:paraId="46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Внесение платы осуществляется, как и ранее, после подачи заявителем запроса в Роскадастр и получения уникального идентификатора начисления.</w:t>
      </w:r>
    </w:p>
    <w:p w14:paraId="47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Установлено исключение в части предоставления аналитической информации, а также определен порядок представления документа, подтверждающего наличие у заявителя льготы.</w:t>
      </w:r>
    </w:p>
    <w:p w14:paraId="48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Кроме того, установлены требования, касающиеся направления заявления о возврате внесенной платы.</w:t>
      </w:r>
    </w:p>
    <w:p w14:paraId="49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Признан утратившим силу приказ Федеральной службы государственной регистрации, кадастра и картографии от 13 мая 2020 года № П/0144.</w:t>
      </w:r>
    </w:p>
    <w:p w14:paraId="4A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sz w:val="28"/>
        </w:rPr>
      </w:pPr>
    </w:p>
    <w:p w14:paraId="4B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7. «</w:t>
      </w:r>
      <w:r>
        <w:rPr>
          <w:rFonts w:ascii="Times New Roman" w:hAnsi="Times New Roman"/>
          <w:b w:val="0"/>
          <w:sz w:val="28"/>
        </w:rPr>
        <w:t>Разъяснен порядок проведения созыва общего собрания собственников помещений в МКД органом местного самоуправления» (Письмо Минстроя России от 22.04.2026 № 9369-ОГ/00 «О проведении созыва общего собрания собственников помещений в МКД органом местного самоуправления»).</w:t>
      </w:r>
    </w:p>
    <w:p w14:paraId="4C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Отмечается, что в силу части 1.1 статьи 165 ЖК РФ орган местного самоуправления на основании обращения собственников помещений в МКД, председателя совета МКД, органов управления ТСЖ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частью 2 статьи 162 ЖК РФ, в пятидневный срок проводит внеплановую проверку деятельности управляющей организации.</w:t>
      </w:r>
    </w:p>
    <w:p w14:paraId="4D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Орган местного самоуправления проводит указанную проверку не по собственной инициативе, а исключительно на основании соответствующего обращения собственников помещений. Если такое обращение в орган местного самоуправления не поступало, то он не вправе осуществлять такую внеплановую проверку.</w:t>
      </w:r>
    </w:p>
    <w:p w14:paraId="4E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В случае если по результатам указанной проверки выявлено невыполнение управляющей организацией условий договора управления МКД, орган местного самоуправления не позднее чем через пятнадцать дней со дня соответствующего обращения созывает общее собрание собственников помещений в МКД (далее - ОСС)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
    <w:p w14:paraId="4F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Созыв ОСС в случае, предусмотренном частью 1.1 статьи 165 ЖК РФ, является не только правом, но и обязанностью органа местного самоуправления. При этом не имеет значения факт наличия или отсутствия в МКД помещений в муниципальной собственности, поскольку орган местного самоуправления действует не в качестве собственника муниципальных помещений в МКД, а именно в качестве органа местного самоуправления, наделенного полномочием по проведению ОСС.</w:t>
      </w:r>
    </w:p>
    <w:p w14:paraId="50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Орган местного самоуправления проводит ОСС в порядке, предусмотренном статьями 44 - 48 ЖК РФ, при этом выступает в качестве инициатора ОСС, реализуя соответствующие права и исполняя соответствующие обязанности.</w:t>
      </w:r>
    </w:p>
    <w:p w14:paraId="51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sz w:val="28"/>
        </w:rPr>
      </w:pPr>
    </w:p>
    <w:p w14:paraId="52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8. «</w:t>
      </w:r>
      <w:r>
        <w:rPr>
          <w:rFonts w:ascii="Times New Roman" w:hAnsi="Times New Roman"/>
          <w:b w:val="0"/>
          <w:sz w:val="28"/>
        </w:rPr>
        <w:t>Предлагается увеличить размеры госпошлин за совершение действий, связанных с приобретением гражданства РФ, а также с въездом или выездом из РФ иностранных граждан» (Проект Федерального закона № 1222962-8 «О внесении изменений в ч.2 НК РФ»).</w:t>
      </w:r>
    </w:p>
    <w:p w14:paraId="53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Так, например, законопроектом предусмотрены следующие размеры госпошлин:</w:t>
      </w:r>
    </w:p>
    <w:p w14:paraId="54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за выдачу приглашения на въезд в РФ иностранным гражданам или лицам без гражданства - 8000 рублей за каждого приглашенного (сейчас - 960 рублей);</w:t>
      </w:r>
    </w:p>
    <w:p w14:paraId="55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за выдачу вида на жительство - 30000 рублей (сейчас - 6000 рублей), за выдачу разрешения на временное проживание - 15000 рублей (сейчас 1920 рублей);</w:t>
      </w:r>
    </w:p>
    <w:p w14:paraId="56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за прием в гражданство РФ и выход из гражданства - 50000 рублей (сейчас - 4200 рублей).</w:t>
      </w:r>
    </w:p>
    <w:p w14:paraId="57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При этом законопроектом предусмотрена льгота для иностранных граждан и лиц без гражданства - участников СВО.</w:t>
      </w:r>
    </w:p>
    <w:p w14:paraId="58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Предполагается, что Федеральный закон вступит в силу с 1 июля 2026 года.</w:t>
      </w:r>
    </w:p>
    <w:p w14:paraId="59000000">
      <w:pPr>
        <w:widowControl w:val="0"/>
        <w:tabs>
          <w:tab w:leader="none" w:pos="708" w:val="left"/>
          <w:tab w:leader="none" w:pos="4153" w:val="center"/>
          <w:tab w:leader="none" w:pos="8306" w:val="right"/>
        </w:tabs>
        <w:spacing w:after="0" w:line="240" w:lineRule="auto"/>
        <w:ind w:firstLine="709" w:left="0"/>
        <w:jc w:val="both"/>
        <w:rPr>
          <w:b w:val="0"/>
        </w:rPr>
      </w:pPr>
    </w:p>
    <w:p w14:paraId="5A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9. «</w:t>
      </w:r>
      <w:r>
        <w:rPr>
          <w:rFonts w:ascii="Times New Roman" w:hAnsi="Times New Roman"/>
          <w:b w:val="0"/>
          <w:sz w:val="28"/>
        </w:rPr>
        <w:t>В КоАП РФ закреплено право лиц, в отношении которых ведется производство по делу, потерпевших, защитника и представителя делать выписки из материалов дела и снимать с них копии» (Федеральный закон от 02.05.2026 №119-ФЗ «О внесении изменений в КоАП РФ»).</w:t>
      </w:r>
    </w:p>
    <w:p w14:paraId="5B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Указанные лица вправе знакомиться с аудио- и видеозаписями, делать выписки из материалов дела, снимать за свой счет с них копии, в том числе с помощью технических средств.</w:t>
      </w:r>
    </w:p>
    <w:p w14:paraId="5C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sz w:val="28"/>
        </w:rPr>
      </w:pPr>
    </w:p>
    <w:p w14:paraId="5D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10. «</w:t>
      </w:r>
      <w:r>
        <w:rPr>
          <w:rFonts w:ascii="Times New Roman" w:hAnsi="Times New Roman"/>
          <w:b w:val="0"/>
          <w:sz w:val="28"/>
        </w:rPr>
        <w:t>Установлены особенности безвозмездной передачи земельных участков, находящихся в федеральной собственности, в собственность субъектов Российской Федерации или муниципальную собственность» (Федеральный закон от 02.05.2026 № 121-ФЗ «О внесении изменений в ЗК РФ и Федеральный закон «О содействии развитию жилищного строительства, созданию объектов туристской инфраструктуры и иному развитию территорий»).</w:t>
      </w:r>
    </w:p>
    <w:p w14:paraId="5E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В частности, уточнено, какие земельные участки не подлежат безвозмездной передаче в собственность субъекта РФ или муниципальную собственность, определена процедура проверки наличия оснований для отказа в безвозмездной передаче земельного участка, а также принятия решения о целесообразности или нецелесообразности безвозмездной передачи земельного участка из федеральной собственности в собственность субъекта РФ или муниципальную собственность.</w:t>
      </w:r>
    </w:p>
    <w:p w14:paraId="5F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Кроме того, закрепляется возможность проведения аукциона на право заключения договора аренды находящегося в государственной или муниципальной собственности земельного участка, расположенного в границах береговой полосы водного объекта общего пользования.</w:t>
      </w:r>
    </w:p>
    <w:p w14:paraId="60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61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11. «</w:t>
      </w:r>
      <w:r>
        <w:rPr>
          <w:rFonts w:ascii="Times New Roman" w:hAnsi="Times New Roman"/>
          <w:b w:val="0"/>
          <w:sz w:val="28"/>
        </w:rPr>
        <w:t>В 2027 году выходные дни, совпадающие с нерабочими праздничными днями 2 и 3 января, предлагается перенести на 5 ноября и 31 декабря соответственно» (Проект Постановления Правительства РФ «О переносе выходных дней в 2027 году»).</w:t>
      </w:r>
    </w:p>
    <w:p w14:paraId="62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Также планируется перенести день отдыха с субботы 20 февраля на понедельник 22 февраля.</w:t>
      </w:r>
    </w:p>
    <w:p w14:paraId="63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Таким образом, в 2027 году будут следующие дни отдыха:</w:t>
      </w:r>
    </w:p>
    <w:p w14:paraId="64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 31 декабря 2026 г. по 10 января 2027 г.;</w:t>
      </w:r>
    </w:p>
    <w:p w14:paraId="65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 21 по 23 февраля;</w:t>
      </w:r>
    </w:p>
    <w:p w14:paraId="66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 6 по 8 марта;</w:t>
      </w:r>
    </w:p>
    <w:p w14:paraId="67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 1 по 3 мая и с 8 по 10 мая;</w:t>
      </w:r>
    </w:p>
    <w:p w14:paraId="68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 12 по 14 июня;</w:t>
      </w:r>
    </w:p>
    <w:p w14:paraId="69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 4 по 7 ноября;</w:t>
      </w:r>
    </w:p>
    <w:p w14:paraId="6A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31 декабря.</w:t>
      </w:r>
    </w:p>
    <w:p w14:paraId="6B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6C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12. «</w:t>
      </w:r>
      <w:r>
        <w:rPr>
          <w:rFonts w:ascii="Times New Roman" w:hAnsi="Times New Roman"/>
          <w:b w:val="0"/>
          <w:sz w:val="28"/>
        </w:rPr>
        <w:t>С 1 сентября 2026 года уточняется контроль за соответствием расходов лиц, замещающих государственные должности, и иных лиц их доходам» (Федеральный закон от 25.04.2026 № 105-ФЗ «О внесении изменений в ст.8.1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p w14:paraId="6D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В соответствии с поправками в общем доходе за три последних года, предшествующих отчетному периоду, будут учитываться доходы не только должностного лица и его супруги (супруга), но и их несовершеннолетних детей.</w:t>
      </w:r>
    </w:p>
    <w:p w14:paraId="6E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Также дополнено, что при расчете общего дохода учитываются доходы супруги (супруга) замещающего (занимающего) должность лица, полученные в период брака с указанным лицом. Доходы супруги (супруга) указанного лица, полученные до вступления в брак с указанным лицом, не учитываются, но могут указываться при представлении сведений о расходах в качестве источника получения средств, за счет которых понесены расходы по сделкам.</w:t>
      </w:r>
    </w:p>
    <w:p w14:paraId="6F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Действие положений частей 1 и 2 статьи 3 Закона «О контроле за соответствием расходов лиц, замещающих государственные должности, и иных лиц их доходам» не распространяется на сделки, совершенные лицом, замещающим (занимающим) должность, его супругой (супругом) и несовершеннолетними детьми до назначения указанного лица на соответствующую должность, а также на сделки, совершенные супругой (супругом) указанного лица до вступления с ним в брак.</w:t>
      </w:r>
    </w:p>
    <w:p w14:paraId="70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Сведения о расходах по указанным сделкам не представляются, контроль за расходами по этим сделкам не осуществляется, имущество, полученное по этим сделкам, не может быть обращено по решению суда в доход РФ, денежные средства в размере, эквивалентном расходам, понесенным по этим сделкам, не могут быть взысканы в доход РФ.</w:t>
      </w:r>
    </w:p>
    <w:p w14:paraId="71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72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13. «</w:t>
      </w:r>
      <w:r>
        <w:rPr>
          <w:rFonts w:ascii="Times New Roman" w:hAnsi="Times New Roman"/>
          <w:b w:val="0"/>
          <w:sz w:val="28"/>
        </w:rPr>
        <w:t>Отдельные виды компенсаций, выплачиваемых инвалидам (ветеранам), включены в перечень доходов, на которые не может быть обращено взыскание» (Федеральный закон от 25.04.2026 № 112-ФЗ «О внесении изменений в Федеральный закон «Об исполнительном производстве»).</w:t>
      </w:r>
    </w:p>
    <w:p w14:paraId="73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В перечень, предусмотренный частью 1 статьи 101 Закона об исполнительном производстве, включены, в частности: компенсации за самостоятельно приобретенные до 1 января 2025 года технические средства реабилитации; компенсации расходов сопровождающего лица на оплату проезда к месту получения или изготовления технического средства реабилитации; компенсация расходов на содержание и ветеринарное обслуживание собаки-проводника.</w:t>
      </w:r>
    </w:p>
    <w:p w14:paraId="74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Кроме того, законом устанавливается требование об указании в расчетных документах взысканной по исполнительному документу суммы денежных средств лицами, выплачивающими гражданину заработную плату и (или) иные доходы, в отношении которых установлены ограничения или запрет на взыскание.</w:t>
      </w:r>
    </w:p>
    <w:p w14:paraId="75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76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14. «</w:t>
      </w:r>
      <w:r>
        <w:rPr>
          <w:rFonts w:ascii="Times New Roman" w:hAnsi="Times New Roman"/>
          <w:b w:val="0"/>
          <w:sz w:val="28"/>
        </w:rPr>
        <w:t>Разъяснены некоторые особенности установления публичного сервитута» (Письмо Росреестра от 19.12.2025 № 11-03394/25 «О рассмотрении обращения»).</w:t>
      </w:r>
    </w:p>
    <w:p w14:paraId="77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Сообщается, в частности, что действующим законодательством предусмотрено, что решение об установлении публичного сервитута должно содержать информацию о кадастровых номерах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78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Решение об установлении публичного сервитута принимается с учетом информации, представленной органом регистрации прав по запросу уполномоченного органа, а также с учетом мероприятий по выявлению правообладателей земельных участков (статья 39.42 ЗК РФ).</w:t>
      </w:r>
    </w:p>
    <w:p w14:paraId="79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Вместе с тем, основания для направления органом регистрации прав уведомления о невозможности внесения в ЕГРН сведений, содержащихся в документах, поступивших в порядке межведомственного информационного взаимодействия документов, установлены частью 2 статьи 34 Федерального закона от 13 июля 2015 года № 218-ФЗ «О государственной регистрации недвижимости» (далее - Закон № 218-ФЗ). Исходя из содержания указанной нормы, органом регистрации прав может быть отказано во внесении в ЕГРН сведений о публичном сервитуте в случаях, когда:</w:t>
      </w:r>
    </w:p>
    <w:p w14:paraId="7A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решение об установлении публичного сервитута принято органом государственной власти или органами местного самоуправления, к полномочиям которых не отнесено принятие такого решения (пункт 1);</w:t>
      </w:r>
    </w:p>
    <w:p w14:paraId="7B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отсутствует предусмотренное частью 15.1 статьи 32 Закона № 218-ФЗ описание местоположения границ публичного сервитута (пункт 2);</w:t>
      </w:r>
    </w:p>
    <w:p w14:paraId="7C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поступившие документы не соответствуют требованиям к формату таких документов в электронной форме, установленному в соответствии с частью 16 статьи 32 Закона № 218-ФЗ, в том числе не подписаны электронной подписью в соответствии с законодательством Российской Федерации (пункт 3);</w:t>
      </w:r>
    </w:p>
    <w:p w14:paraId="7D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форма и (или) содержание документов, поступивших в порядке межведомственного информационного взаимодействия, необходимых для внесения сведений в ЕГРН в отношении объектов недвижимости, не соответствуют требованиям законодательства Российской Федерации (пункт 7).</w:t>
      </w:r>
    </w:p>
    <w:p w14:paraId="7E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Таким образом, само по себе несоответствие информации о кадастровых номерах земельных участков в документах, поступивших в порядке межведомственного информационного взаимодействия для внесения в ЕГРН сведений о публичном сервитуте, не является согласно части 2 статьи 34 Закона №218-ФЗ основанием для направления органом регистрации прав уведомления о невозможности внесения соответствующих сведений в ЕГРН, поскольку сведения от таких земельных участках указываются в решении об установлении публичного сервитута при их наличии (подпункт 4 пункта 4 статьи 39.43 ЗК РФ).</w:t>
      </w:r>
    </w:p>
    <w:p w14:paraId="7F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80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15. «</w:t>
      </w:r>
      <w:r>
        <w:rPr>
          <w:rFonts w:ascii="Times New Roman" w:hAnsi="Times New Roman"/>
          <w:b w:val="0"/>
          <w:sz w:val="28"/>
        </w:rPr>
        <w:t>Даны разъяснения по вопросу установки газовой плиты в жилом доме» (Письмо Минстроя России от 26.03.2026 № 7164-ОГ/08 «О применении нормативных технических документов в сфере строительства»).</w:t>
      </w:r>
    </w:p>
    <w:p w14:paraId="81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Сообщается, в частности, что при установке газовой плиты в одноквартирном и блокированном жилом доме необходимо учитывать требования пункта 5.1 СП 402.1325800.2018 «Здания жилые. Правила проектирования систем газопотребления» (далее - СП 402.1325800.2018).</w:t>
      </w:r>
    </w:p>
    <w:p w14:paraId="82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Требования к материалам в местах установки газовых плит приведены в пункте 5.3 СП 402.1325800.2018.</w:t>
      </w:r>
    </w:p>
    <w:p w14:paraId="83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Расстояние от газовой плиты, в том числе встроенной варочной поверхности, до изолированных негорючими материалами стен помещения следует принимать в соответствии с требованиями Постановления Правительства РФ от 16 сентября 2020 года № 1479 «Об утверждении Правил противопожарного режима в Российской Федерации» и инструкциями предприятия - изготовителя бытового газоиспользующего оборудования.</w:t>
      </w:r>
    </w:p>
    <w:p w14:paraId="84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В соответствии с пунктом 5.9 СП 402.1325800.2018 вентиляция помещений, предназначенных для установки бытового газоиспользующего оборудования, должна быть естественной.</w:t>
      </w:r>
    </w:p>
    <w:p w14:paraId="85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Параметры воздуха в помещениях следует принимать согласно СП 60.13330.2020 «СНиП 41-01-2003 Отопление, вентиляция и кондиционирование воздуха».</w:t>
      </w:r>
    </w:p>
    <w:p w14:paraId="86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Нормы воздухообмена в помещениях в режиме обслуживания следует принимать в соответствии с таблицей 5.1 СП 402.1325800.2018.</w:t>
      </w:r>
    </w:p>
    <w:p w14:paraId="87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При установке газовой плиты в многоквартирном жилом доме необходимо учитывать требования пункта 5.16 СП 402.1325800.2018. Установку бытовых газовых плит в многоквартирных жилых домах следует предусматривать в помещениях кухонь с соблюдением требований СП 7.13130.2013 «Отопление, вентиляция и кондиционирование. Требования пожарной безопасности». Установка газовых плит в кухне-нише не допускается.</w:t>
      </w:r>
    </w:p>
    <w:p w14:paraId="88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Требования к воздухообмену в помещениях с расположенным в них бытовым газоиспользующим оборудованием необходимо принимать в соответствии с таблицей 5.1 СП 402.1325800.2018.</w:t>
      </w:r>
    </w:p>
    <w:p w14:paraId="89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8A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16. «</w:t>
      </w:r>
      <w:r>
        <w:rPr>
          <w:rFonts w:ascii="Times New Roman" w:hAnsi="Times New Roman"/>
          <w:b w:val="0"/>
          <w:sz w:val="28"/>
        </w:rPr>
        <w:t>Минстрой: использование любого элемента общего имущества в МКД (в том числе использование участка фасада МКД в целях установки и эксплуатации рекламных конструкций) возможно исключительно при наличии соответствующего решения общего собрания собственников помещений в МКД (Письмо Минстроя России от 10.04.2026 № 20896-ДН/04 «Об использовании общего имущества в МКД»).</w:t>
      </w:r>
    </w:p>
    <w:p w14:paraId="8B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Правила благоустройства, действующие на территории муниципального образования, могут устанавливать требования к фасадам зданий (включая МКД), в том числе к порядку установки и эксплуатации рекламных конструкций и иных объектов.</w:t>
      </w:r>
    </w:p>
    <w:p w14:paraId="8C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Исполнение указанных требований, установленных на территории муниципального образования, при использовании участка фасада МКД в целях установки и эксплуатации рекламных конструкций и иных объектов не приводит к праву отказа от исполнения требования закона об обязательности решения общего собрания собственников, устанавливающего право на использование общего имущества МКД и условия такого использования.</w:t>
      </w:r>
    </w:p>
    <w:p w14:paraId="8D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8E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17. «</w:t>
      </w:r>
      <w:r>
        <w:rPr>
          <w:rFonts w:ascii="Times New Roman" w:hAnsi="Times New Roman"/>
          <w:b w:val="0"/>
          <w:sz w:val="28"/>
        </w:rPr>
        <w:t>Дополнен перечень категорий работников, у которых есть преимущественное право остаться на работе при сокращении» (Федеральный закон от 25.04.2026 № 108-ФЗ «О внесении изменения в ст.179 ТК РФ»).</w:t>
      </w:r>
    </w:p>
    <w:p w14:paraId="8F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В часть вторую статьи 179 ТК РФ внесены изменения, согласно которым преимущественное право на оставление на работе при сокращении численности или штата предоставлено также сотрудникам, чей трудовой договор был возобновлен после возвращения с военной службы в соответствии с положениями статьи 351.7 ТК РФ.</w:t>
      </w:r>
    </w:p>
    <w:p w14:paraId="90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При равной производительности труда и квалификации необходимо отдавать предпочтение таким работникам.</w:t>
      </w:r>
    </w:p>
    <w:p w14:paraId="91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Настоящий Федеральный закон вступает в силу с 1 сентября 2026 года.</w:t>
      </w:r>
    </w:p>
    <w:p w14:paraId="92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93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18. «</w:t>
      </w:r>
      <w:r>
        <w:rPr>
          <w:rFonts w:ascii="Times New Roman" w:hAnsi="Times New Roman"/>
          <w:b w:val="0"/>
          <w:sz w:val="28"/>
        </w:rPr>
        <w:t>Членам семьи и близким родственникам тяжелобольного сотрудника войск Росгвардии предоставлено право проезда на безвозмездной основе от места их жительства до места нахождения больного и обратно» (Федеральный закон от 25.04.2026 № 109-ФЗ «О внесении изменения в ст.28.1 Федерального закона «О войсках национальной гвардии РФ»).</w:t>
      </w:r>
    </w:p>
    <w:p w14:paraId="94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Установлено, что в случае тяжелой болезни сотрудника, в том числе вследствие полученного увечья (ранения, травмы, контузии), двум членам его семьи или двум близким родственникам оплачивается стоимость проезда железнодорожным, воздушным, водным и автомобильным (за исключением такси) транспортом от места их жительства до места нахождения больного и обратно один раз за время болезни в порядке, определяемом руководителем уполномоченного федерального органа исполнительной власти.</w:t>
      </w:r>
    </w:p>
    <w:p w14:paraId="95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Под близкими родственниками сотрудника понимаются отец (мать), отец (мать) супруга, сын (дочь), полнородные (неполнородные) братья и сестры.</w:t>
      </w:r>
    </w:p>
    <w:p w14:paraId="96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Настоящий Федеральный закон вступает в силу со дня его официального опубликования.</w:t>
      </w:r>
    </w:p>
    <w:p w14:paraId="97000000">
      <w:pPr>
        <w:widowControl w:val="0"/>
        <w:tabs>
          <w:tab w:leader="none" w:pos="708" w:val="left"/>
          <w:tab w:leader="none" w:pos="4153" w:val="center"/>
          <w:tab w:leader="none" w:pos="8306" w:val="right"/>
        </w:tabs>
        <w:spacing w:after="0" w:line="240" w:lineRule="auto"/>
        <w:ind w:firstLine="709" w:left="0"/>
        <w:jc w:val="both"/>
        <w:rPr>
          <w:b w:val="0"/>
        </w:rPr>
      </w:pPr>
    </w:p>
    <w:p w14:paraId="98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 xml:space="preserve">19. </w:t>
      </w:r>
      <w:r>
        <w:rPr>
          <w:rFonts w:ascii="Times New Roman" w:hAnsi="Times New Roman"/>
          <w:b w:val="0"/>
          <w:sz w:val="28"/>
        </w:rPr>
        <w:t>Уточнены условия и порядок назначения ежемесячного пособия в связи с рождением и воспитанием ребенка (Постановление Правительства РФ от 20.04.2026 № 440 «О внесении изменений в постановление Правительства РФ от 16.12.2022 № 2330»).</w:t>
      </w:r>
    </w:p>
    <w:p w14:paraId="99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Теперь для получения ежемесячного пособия в связи с рождением и воспитанием ребенка нужно постоянно проживать в России в статусе гражданина РФ не менее 5 лет.</w:t>
      </w:r>
    </w:p>
    <w:p w14:paraId="9A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Требование о 5-летнем сроке проживания не распространяется на:</w:t>
      </w:r>
    </w:p>
    <w:p w14:paraId="9B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граждан, приобретших гражданство РФ по рождению;</w:t>
      </w:r>
    </w:p>
    <w:p w14:paraId="9C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граждан, приобретших гражданство в результате признания гражданином РФ;</w:t>
      </w:r>
    </w:p>
    <w:p w14:paraId="9D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граждан, приобретших гражданство в результате приема в гражданство РФ и имеющих статус участника Госпрограммы по переселению, утвержденной Указом № 637;</w:t>
      </w:r>
    </w:p>
    <w:p w14:paraId="9E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граждан РФ, принимавших участие в СВО, или членов их семей либо являющихся ветеранами боевых действий.</w:t>
      </w:r>
    </w:p>
    <w:p w14:paraId="9F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Кроме того, в соответствии с постановлением будет сохраняться право на пособие для многодетных семей, имеющих детей в возрасте до 17 лет, в случае, если при обращении за назначением ежемесячного пособия размер среднедушевого дохода указанной семьи не более чем на 10% превысит величину прожиточного минимума на душу населения.</w:t>
      </w:r>
    </w:p>
    <w:p w14:paraId="A0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Скорректированы положения, касающиеся определения размера выплачиваемого пособия, и некоторые процедуры, связанные с его назначением.</w:t>
      </w:r>
    </w:p>
    <w:p w14:paraId="A1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A2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 xml:space="preserve">20. </w:t>
      </w:r>
      <w:r>
        <w:rPr>
          <w:rFonts w:ascii="Times New Roman" w:hAnsi="Times New Roman"/>
          <w:b w:val="0"/>
          <w:sz w:val="28"/>
        </w:rPr>
        <w:t>Банк России вновь снизил ключевую ставку и установил ее на уровне 14,50% годовых (Информационное сообщение Банка России от 24.04.2026 «Банк России принял решение снизить ключевую ставку на 50 б.п., до 14,50% годовых»).</w:t>
      </w:r>
    </w:p>
    <w:p w14:paraId="A3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Сообщается, в частности, что денежно-кредитные условия немного смягчились, но остаются жесткими. Процентные ставки уменьшились в большинстве сегментов финансового рынка. Неценовые условия банковского кредитования по-прежнему жесткие.</w:t>
      </w:r>
    </w:p>
    <w:p w14:paraId="A4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Кредитная активность сдержанная. Это в том числе связано с рекордно высоким авансированием госрасходов. Склонность домашних хозяйств к сбережению в целом остается высокой.</w:t>
      </w:r>
    </w:p>
    <w:p w14:paraId="A5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Проинфляционные риски по-прежнему преобладают над дезинфляционными на среднесрочном горизонте. Основные проинфляционные риски связаны с ухудшением перспектив мировой экономики и ростом ценового давления в мире на фоне усиления геополитической напряженности, а также с высокими инфляционными ожиданиями и длительным периодом роста зарплат темпами выше роста производительности труда. Дезинфляционные риски связаны с более значительным замедлением внутреннего спроса.</w:t>
      </w:r>
    </w:p>
    <w:p w14:paraId="A6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динамики инфляционных ожиданий, а также от оценки рисков со стороны внешних и внутренних условий.</w:t>
      </w:r>
    </w:p>
    <w:p w14:paraId="A7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Следующее заседание Совета директоров Банка России, на котором будет рассматриваться вопрос об уровне ключевой ставки, запланировано на 19 июня 2026 года.</w:t>
      </w:r>
    </w:p>
    <w:p w14:paraId="A8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p w14:paraId="A9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21. «</w:t>
      </w:r>
      <w:r>
        <w:rPr>
          <w:rFonts w:ascii="Times New Roman" w:hAnsi="Times New Roman"/>
          <w:b w:val="0"/>
          <w:sz w:val="28"/>
        </w:rPr>
        <w:t>К</w:t>
      </w:r>
      <w:r>
        <w:rPr>
          <w:rFonts w:ascii="Times New Roman" w:hAnsi="Times New Roman"/>
          <w:b w:val="0"/>
          <w:sz w:val="28"/>
        </w:rPr>
        <w:t>онституционный Суд: вопрос о возможном причинении вреда при применении мер принуждения подлежит разрешению с учетом всей совокупности обстоятельств уголовного дела и итогового решения по нему» (Постановление Конституционного Суда РФ от 24.04.2026 № 27-П «По делу о проверке конституционности статей 111, 114 и ч.3 ст.133 УПК РФ в связи с жалобой гражданина Пономарева П.В.»).</w:t>
      </w:r>
    </w:p>
    <w:p w14:paraId="AA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Статьи 111, 114 и часть третья статьи 133 УПК РФ признаны не противоречащими Конституции РФ в той мере, в какой они по своему конституционно-правовому смыслу в системе действующего правового регулирования предполагают правомочие суда при отсутствии права осужденного на реабилитацию принять решение о возмещении ему имущественного вреда (утраченной заработной платы), причиненного его временным отстранением от должности вследствие подозрения в совершении преступления, подтвержденного впоследствии обвинительным приговором, при условии подтверждения в установленном законом порядке и с учетом конкретных обстоятельств уголовного дела незаконного и необоснованного применения указанной меры принуждения и установления обусловленности причинения осужденному имущественного вреда (утраты заработной платы) ее незаконностью и необоснованностью.</w:t>
      </w:r>
    </w:p>
    <w:p w14:paraId="AB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Конституционный Суд, в частности, указал, что, разрешая в порядке главы 18 УПК РФ вопрос о возможном возмещении вреда, причиненного временным отстранением от должности, суд обязан установить, причинен ли подозреваемому (обвиняемому) вред как таковой и обусловлен ли он необоснованным решением о возбуждении уголовного дела, притом что производство по уголовному делу по признакам того же преступления продолжено, а также признана ли в установленном порядке незаконность применения данной меры принуждения. Суду надлежит, в частности, оценить не только нарушение процессуальных норм, на основе которых применялось временное отстранение от должности, но и характер и значимость такого нарушения в контексте уголовного преследования, его влияние на производство по уголовному делу и устранение его в уголовном процессе, если таковое имело место. Содержательная оценка законности названной меры принуждения также предполагает установление того, была ли она необходимой и разумной (или, наоборот, напрасной) в конкретных обстоятельствах, послуживших основанием для ее применения.</w:t>
      </w:r>
    </w:p>
    <w:p w14:paraId="AC000000">
      <w:pPr>
        <w:widowControl w:val="0"/>
        <w:tabs>
          <w:tab w:leader="none" w:pos="708" w:val="left"/>
          <w:tab w:leader="none" w:pos="4153" w:val="center"/>
          <w:tab w:leader="none" w:pos="8306" w:val="right"/>
        </w:tabs>
        <w:spacing w:after="0" w:line="240" w:lineRule="auto"/>
        <w:ind w:firstLine="709" w:left="0"/>
        <w:jc w:val="both"/>
        <w:rPr>
          <w:b w:val="0"/>
        </w:rPr>
      </w:pPr>
      <w:r>
        <w:rPr>
          <w:rFonts w:ascii="Times New Roman" w:hAnsi="Times New Roman"/>
          <w:b w:val="0"/>
          <w:sz w:val="28"/>
        </w:rPr>
        <w:t>При этом следует также исходить из того, что законом установлен единый процесс производства по уголовному делу (включая проверку сообщения о преступлении, возбуждение и расследование дела, порядок устранения процессуальных ошибок и применения мер процессуального принуждения, в том числе временного отстранения от должности), предметно и сущностно объединенный подлежащими доказыванию обстоятельствами, назначением уголовного судопроизводства, касающегося того же лица и события преступления. Законом установлены единые и равные гарантии обеспечения судебной защиты прав и свобод, реализуемые как при избрании судом меры процессуального принуждения в виде временного отстранения от должности, так и при последующей оценке законности и обоснованности ее применения.</w:t>
      </w:r>
    </w:p>
    <w:p w14:paraId="AD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r>
        <w:rPr>
          <w:rFonts w:ascii="Times New Roman" w:hAnsi="Times New Roman"/>
          <w:b w:val="0"/>
          <w:sz w:val="28"/>
        </w:rPr>
        <w:t xml:space="preserve"> </w:t>
      </w:r>
    </w:p>
    <w:p w14:paraId="AE000000">
      <w:pPr>
        <w:widowControl w:val="0"/>
        <w:tabs>
          <w:tab w:leader="none" w:pos="708" w:val="left"/>
          <w:tab w:leader="none" w:pos="4153" w:val="center"/>
          <w:tab w:leader="none" w:pos="8306" w:val="right"/>
        </w:tabs>
        <w:spacing w:after="0" w:line="240" w:lineRule="auto"/>
        <w:ind w:firstLine="709" w:left="0"/>
        <w:jc w:val="both"/>
        <w:rPr>
          <w:rFonts w:ascii="Times New Roman" w:hAnsi="Times New Roman"/>
          <w:b w:val="0"/>
          <w:sz w:val="28"/>
        </w:rPr>
      </w:pPr>
    </w:p>
    <w:tbl>
      <w:tblPr>
        <w:tblStyle w:val="Style_5"/>
        <w:tblpPr w:bottomFromText="0" w:horzAnchor="text" w:leftFromText="181" w:rightFromText="181" w:tblpXSpec="left" w:tblpY="1" w:topFromText="0" w:vertAnchor="text"/>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402"/>
        <w:gridCol w:w="3748"/>
        <w:gridCol w:w="2773"/>
      </w:tblGrid>
      <w:tr>
        <w:trPr>
          <w:trHeight w:hRule="atLeast" w:val="280"/>
        </w:trPr>
        <w:tc>
          <w:tcPr>
            <w:tcW w:type="dxa" w:w="3402"/>
            <w:tcBorders>
              <w:top w:color="000000" w:sz="4" w:val="nil"/>
              <w:left w:color="000000" w:sz="4" w:val="nil"/>
              <w:bottom w:color="000000" w:sz="4" w:val="nil"/>
              <w:right w:color="000000" w:sz="4" w:val="nil"/>
            </w:tcBorders>
            <w:vAlign w:val="bottom"/>
          </w:tcPr>
          <w:p w14:paraId="AF000000">
            <w:pPr>
              <w:widowControl w:val="0"/>
              <w:spacing w:after="0" w:line="240" w:lineRule="exact"/>
              <w:ind/>
              <w:jc w:val="both"/>
              <w:rPr>
                <w:rFonts w:ascii="Times New Roman" w:hAnsi="Times New Roman"/>
                <w:sz w:val="28"/>
              </w:rPr>
            </w:pPr>
          </w:p>
          <w:p w14:paraId="B0000000">
            <w:pPr>
              <w:widowControl w:val="0"/>
              <w:spacing w:after="0" w:line="240" w:lineRule="exact"/>
              <w:ind/>
              <w:jc w:val="both"/>
              <w:rPr>
                <w:rFonts w:ascii="Times New Roman" w:hAnsi="Times New Roman"/>
                <w:sz w:val="28"/>
              </w:rPr>
            </w:pPr>
          </w:p>
          <w:p w14:paraId="B1000000">
            <w:pPr>
              <w:widowControl w:val="0"/>
              <w:spacing w:after="0" w:line="240" w:lineRule="exact"/>
              <w:ind w:firstLine="0" w:left="-113"/>
              <w:jc w:val="both"/>
              <w:rPr>
                <w:rFonts w:ascii="Times New Roman" w:hAnsi="Times New Roman"/>
                <w:sz w:val="28"/>
              </w:rPr>
            </w:pPr>
            <w:r>
              <w:rPr>
                <w:rFonts w:ascii="Times New Roman" w:hAnsi="Times New Roman"/>
                <w:sz w:val="28"/>
              </w:rPr>
              <w:t xml:space="preserve">Прокурор района </w:t>
            </w:r>
          </w:p>
          <w:p w14:paraId="B2000000">
            <w:pPr>
              <w:widowControl w:val="0"/>
              <w:spacing w:after="0" w:line="240" w:lineRule="exact"/>
              <w:ind w:firstLine="0" w:left="-113"/>
              <w:jc w:val="both"/>
              <w:rPr>
                <w:rFonts w:ascii="Times New Roman" w:hAnsi="Times New Roman"/>
                <w:sz w:val="28"/>
              </w:rPr>
            </w:pPr>
          </w:p>
          <w:p w14:paraId="B3000000">
            <w:pPr>
              <w:widowControl w:val="0"/>
              <w:spacing w:after="0" w:line="240" w:lineRule="exact"/>
              <w:ind w:firstLine="0" w:left="-113" w:right="-109"/>
              <w:rPr>
                <w:rFonts w:ascii="Times New Roman" w:hAnsi="Times New Roman"/>
                <w:sz w:val="28"/>
              </w:rPr>
            </w:pPr>
            <w:r>
              <w:rPr>
                <w:rFonts w:ascii="Times New Roman" w:hAnsi="Times New Roman"/>
                <w:sz w:val="28"/>
              </w:rPr>
              <w:t>старший советник юстиции</w:t>
            </w:r>
          </w:p>
        </w:tc>
        <w:tc>
          <w:tcPr>
            <w:tcW w:type="dxa" w:w="3748"/>
            <w:tcBorders>
              <w:top w:color="000000" w:sz="4" w:val="nil"/>
              <w:left w:color="000000" w:sz="4" w:val="nil"/>
              <w:bottom w:color="000000" w:sz="4" w:val="nil"/>
              <w:right w:color="000000" w:sz="4" w:val="nil"/>
            </w:tcBorders>
            <w:vAlign w:val="center"/>
          </w:tcPr>
          <w:p w14:paraId="B4000000">
            <w:pPr>
              <w:widowControl w:val="0"/>
              <w:spacing w:after="0" w:line="360" w:lineRule="exact"/>
              <w:ind/>
              <w:rPr>
                <w:color w:val="BFBFBF"/>
                <w:sz w:val="24"/>
              </w:rPr>
            </w:pPr>
            <w:bookmarkStart w:id="4" w:name="SIGNERSTAMP1"/>
            <w:r>
              <w:rPr>
                <w:color w:val="BFBFBF"/>
                <w:sz w:val="24"/>
              </w:rPr>
              <w:t>эл.подпись</w:t>
            </w:r>
            <w:bookmarkEnd w:id="4"/>
          </w:p>
        </w:tc>
        <w:tc>
          <w:tcPr>
            <w:tcW w:type="dxa" w:w="2773"/>
            <w:tcBorders>
              <w:top w:color="000000" w:sz="4" w:val="nil"/>
              <w:left w:color="000000" w:sz="4" w:val="nil"/>
              <w:bottom w:color="000000" w:sz="4" w:val="nil"/>
              <w:right w:color="000000" w:sz="4" w:val="nil"/>
            </w:tcBorders>
            <w:vAlign w:val="bottom"/>
          </w:tcPr>
          <w:p w14:paraId="B5000000">
            <w:pPr>
              <w:widowControl w:val="0"/>
              <w:spacing w:after="0" w:line="240" w:lineRule="exact"/>
              <w:ind w:right="-106"/>
              <w:jc w:val="right"/>
              <w:rPr>
                <w:rFonts w:ascii="Times New Roman" w:hAnsi="Times New Roman"/>
                <w:sz w:val="28"/>
              </w:rPr>
            </w:pPr>
            <w:r>
              <w:rPr>
                <w:rFonts w:ascii="Times New Roman" w:hAnsi="Times New Roman"/>
                <w:sz w:val="28"/>
              </w:rPr>
              <w:t>А.А. Хрусталев</w:t>
            </w:r>
          </w:p>
        </w:tc>
      </w:tr>
    </w:tbl>
    <w:p w14:paraId="B6000000">
      <w:pPr>
        <w:widowControl w:val="0"/>
        <w:spacing w:after="0" w:line="240" w:lineRule="auto"/>
        <w:ind w:firstLine="709" w:left="0"/>
        <w:jc w:val="both"/>
        <w:rPr>
          <w:rFonts w:ascii="Times New Roman" w:hAnsi="Times New Roman"/>
          <w:sz w:val="28"/>
        </w:rPr>
      </w:pPr>
    </w:p>
    <w:p w14:paraId="B7000000">
      <w:pPr>
        <w:widowControl w:val="0"/>
        <w:spacing w:after="0" w:line="240" w:lineRule="auto"/>
        <w:ind w:firstLine="0" w:left="0"/>
        <w:jc w:val="both"/>
        <w:rPr>
          <w:rFonts w:ascii="Times New Roman" w:hAnsi="Times New Roman"/>
          <w:sz w:val="24"/>
        </w:rPr>
      </w:pPr>
    </w:p>
    <w:p w14:paraId="B8000000">
      <w:pPr>
        <w:widowControl w:val="0"/>
        <w:spacing w:after="0" w:line="240" w:lineRule="auto"/>
        <w:ind w:firstLine="0" w:left="0"/>
        <w:jc w:val="both"/>
        <w:rPr>
          <w:rFonts w:ascii="Times New Roman" w:hAnsi="Times New Roman"/>
          <w:sz w:val="24"/>
        </w:rPr>
      </w:pPr>
    </w:p>
    <w:p w14:paraId="B9000000">
      <w:pPr>
        <w:widowControl w:val="0"/>
        <w:spacing w:after="0" w:line="240" w:lineRule="auto"/>
        <w:ind w:firstLine="0" w:left="0"/>
        <w:jc w:val="both"/>
        <w:rPr>
          <w:rFonts w:ascii="Times New Roman" w:hAnsi="Times New Roman"/>
          <w:sz w:val="24"/>
        </w:rPr>
      </w:pPr>
    </w:p>
    <w:p w14:paraId="BA000000">
      <w:pPr>
        <w:widowControl w:val="0"/>
        <w:spacing w:after="0" w:line="240" w:lineRule="auto"/>
        <w:ind w:firstLine="0" w:left="0"/>
        <w:jc w:val="both"/>
        <w:rPr>
          <w:rFonts w:ascii="Times New Roman" w:hAnsi="Times New Roman"/>
          <w:sz w:val="24"/>
        </w:rPr>
      </w:pPr>
    </w:p>
    <w:p w14:paraId="BB000000">
      <w:pPr>
        <w:widowControl w:val="0"/>
        <w:spacing w:after="0" w:line="240" w:lineRule="auto"/>
        <w:ind w:firstLine="0" w:left="0"/>
        <w:jc w:val="both"/>
        <w:rPr>
          <w:rFonts w:ascii="Times New Roman" w:hAnsi="Times New Roman"/>
          <w:sz w:val="24"/>
        </w:rPr>
      </w:pPr>
    </w:p>
    <w:p w14:paraId="BC000000">
      <w:pPr>
        <w:widowControl w:val="0"/>
        <w:spacing w:after="0" w:line="240" w:lineRule="auto"/>
        <w:ind w:firstLine="0" w:left="0"/>
        <w:jc w:val="both"/>
        <w:rPr>
          <w:rFonts w:ascii="Times New Roman" w:hAnsi="Times New Roman"/>
          <w:sz w:val="24"/>
        </w:rPr>
      </w:pPr>
    </w:p>
    <w:p w14:paraId="BD000000">
      <w:pPr>
        <w:widowControl w:val="0"/>
        <w:spacing w:after="0" w:line="240" w:lineRule="auto"/>
        <w:ind w:firstLine="0" w:left="0"/>
        <w:jc w:val="both"/>
        <w:rPr>
          <w:rFonts w:ascii="Times New Roman" w:hAnsi="Times New Roman"/>
          <w:sz w:val="24"/>
        </w:rPr>
      </w:pPr>
    </w:p>
    <w:p w14:paraId="BE000000">
      <w:pPr>
        <w:widowControl w:val="0"/>
        <w:spacing w:after="0" w:line="240" w:lineRule="auto"/>
        <w:ind w:firstLine="0" w:left="0"/>
        <w:jc w:val="both"/>
        <w:rPr>
          <w:rFonts w:ascii="Times New Roman" w:hAnsi="Times New Roman"/>
          <w:sz w:val="24"/>
        </w:rPr>
      </w:pPr>
    </w:p>
    <w:p w14:paraId="BF000000">
      <w:pPr>
        <w:widowControl w:val="0"/>
        <w:spacing w:after="0" w:line="240" w:lineRule="auto"/>
        <w:ind w:firstLine="0" w:left="0"/>
        <w:jc w:val="both"/>
        <w:rPr>
          <w:rFonts w:ascii="Times New Roman" w:hAnsi="Times New Roman"/>
          <w:sz w:val="24"/>
        </w:rPr>
      </w:pPr>
    </w:p>
    <w:p w14:paraId="C0000000">
      <w:pPr>
        <w:widowControl w:val="0"/>
        <w:spacing w:after="0" w:line="240" w:lineRule="auto"/>
        <w:ind w:firstLine="0" w:left="0"/>
        <w:jc w:val="both"/>
        <w:rPr>
          <w:rFonts w:ascii="Times New Roman" w:hAnsi="Times New Roman"/>
          <w:sz w:val="24"/>
        </w:rPr>
      </w:pPr>
    </w:p>
    <w:p w14:paraId="C1000000">
      <w:pPr>
        <w:widowControl w:val="0"/>
        <w:spacing w:after="0" w:line="240" w:lineRule="auto"/>
        <w:ind w:firstLine="0" w:left="0"/>
        <w:jc w:val="both"/>
        <w:rPr>
          <w:rFonts w:ascii="Times New Roman" w:hAnsi="Times New Roman"/>
          <w:sz w:val="24"/>
        </w:rPr>
      </w:pPr>
    </w:p>
    <w:p w14:paraId="C2000000">
      <w:pPr>
        <w:widowControl w:val="0"/>
        <w:spacing w:after="0" w:line="240" w:lineRule="auto"/>
        <w:ind w:firstLine="0" w:left="0"/>
        <w:jc w:val="both"/>
        <w:rPr>
          <w:rFonts w:ascii="Times New Roman" w:hAnsi="Times New Roman"/>
          <w:sz w:val="24"/>
        </w:rPr>
      </w:pPr>
    </w:p>
    <w:p w14:paraId="C3000000">
      <w:pPr>
        <w:widowControl w:val="0"/>
        <w:spacing w:after="0" w:line="240" w:lineRule="auto"/>
        <w:ind w:firstLine="0" w:left="0"/>
        <w:jc w:val="both"/>
        <w:rPr>
          <w:rFonts w:ascii="Times New Roman" w:hAnsi="Times New Roman"/>
          <w:sz w:val="24"/>
        </w:rPr>
      </w:pPr>
    </w:p>
    <w:p w14:paraId="C4000000">
      <w:pPr>
        <w:widowControl w:val="0"/>
        <w:spacing w:after="0" w:line="240" w:lineRule="auto"/>
        <w:ind w:firstLine="0" w:left="0"/>
        <w:jc w:val="both"/>
        <w:rPr>
          <w:rFonts w:ascii="Times New Roman" w:hAnsi="Times New Roman"/>
          <w:sz w:val="24"/>
        </w:rPr>
      </w:pPr>
    </w:p>
    <w:p w14:paraId="C5000000">
      <w:pPr>
        <w:widowControl w:val="0"/>
        <w:spacing w:after="0" w:line="240" w:lineRule="auto"/>
        <w:ind w:firstLine="0" w:left="0"/>
        <w:jc w:val="both"/>
        <w:rPr>
          <w:rFonts w:ascii="Times New Roman" w:hAnsi="Times New Roman"/>
          <w:sz w:val="24"/>
        </w:rPr>
      </w:pPr>
    </w:p>
    <w:p w14:paraId="C6000000">
      <w:pPr>
        <w:widowControl w:val="0"/>
        <w:spacing w:after="0" w:line="240" w:lineRule="auto"/>
        <w:ind w:firstLine="0" w:left="0"/>
        <w:jc w:val="both"/>
        <w:rPr>
          <w:rFonts w:ascii="Times New Roman" w:hAnsi="Times New Roman"/>
          <w:sz w:val="24"/>
        </w:rPr>
      </w:pPr>
      <w:r>
        <w:rPr>
          <w:rFonts w:ascii="Times New Roman" w:hAnsi="Times New Roman"/>
          <w:sz w:val="24"/>
        </w:rPr>
        <w:t>Е.А. Скородумова, 47-34-02</w:t>
      </w:r>
    </w:p>
    <w:sectPr>
      <w:headerReference r:id="rId1" w:type="default"/>
      <w:footerReference r:id="rId2" w:type="first"/>
      <w:pgSz w:h="16848" w:orient="portrait" w:w="11908"/>
      <w:pgMar w:bottom="1134" w:footer="0" w:gutter="0" w:header="709" w:left="1417"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0"/>
      <w:spacing w:after="60"/>
      <w:ind/>
    </w:pPr>
  </w:p>
  <w:tbl>
    <w:tblPr>
      <w:tblStyle w:val="Style_3"/>
      <w:tblW w:type="auto" w:w="0"/>
      <w:jc w:val="right"/>
      <w:tblBorders>
        <w:top w:color="000000" w:sz="6" w:val="single"/>
        <w:left w:color="000000" w:sz="6" w:val="single"/>
        <w:bottom w:color="000000" w:sz="6" w:val="single"/>
        <w:right w:color="000000" w:sz="6" w:val="single"/>
        <w:insideH w:color="000000" w:sz="6" w:val="single"/>
        <w:insideV w:color="000000" w:sz="6" w:val="single"/>
      </w:tblBorders>
      <w:tblLayout w:type="fixed"/>
      <w:tblCellMar>
        <w:top w:type="dxa" w:w="28"/>
        <w:left w:type="dxa" w:w="28"/>
        <w:bottom w:type="dxa" w:w="28"/>
        <w:right w:type="dxa" w:w="28"/>
      </w:tblCellMar>
    </w:tblPr>
    <w:tblGrid>
      <w:gridCol w:w="5994"/>
      <w:gridCol w:w="3643"/>
    </w:tblGrid>
    <w:tr>
      <w:trPr>
        <w:trHeight w:hRule="atLeast" w:val="57"/>
      </w:trPr>
      <w:tc>
        <w:tcPr>
          <w:tcW w:type="dxa" w:w="5994"/>
          <w:tcBorders>
            <w:top w:sz="4" w:val="nil"/>
            <w:left w:sz="4" w:val="nil"/>
            <w:bottom w:sz="4" w:val="nil"/>
            <w:right w:color="000000" w:sz="6" w:val="single"/>
            <w:tl2br w:sz="4" w:val="nil"/>
            <w:tr2bl w:sz="4" w:val="nil"/>
          </w:tcBorders>
          <w:tcMar>
            <w:top w:type="dxa" w:w="28"/>
            <w:left w:type="dxa" w:w="28"/>
            <w:bottom w:type="dxa" w:w="28"/>
            <w:right w:type="dxa" w:w="28"/>
          </w:tcMar>
        </w:tcPr>
        <w:p w14:paraId="04000000">
          <w:pPr>
            <w:widowControl w:val="0"/>
            <w:spacing w:after="60"/>
            <w:ind/>
            <w:jc w:val="center"/>
            <w:rPr>
              <w:rFonts w:ascii="Times New Roman" w:hAnsi="Times New Roman"/>
              <w:sz w:val="16"/>
            </w:rPr>
          </w:pPr>
        </w:p>
      </w:tc>
      <w:tc>
        <w:tcPr>
          <w:tcW w:type="dxa" w:w="364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05000000">
          <w:pPr>
            <w:widowControl w:val="0"/>
            <w:tabs>
              <w:tab w:leader="none" w:pos="0" w:val="left"/>
            </w:tabs>
            <w:spacing w:after="60" w:line="240" w:lineRule="auto"/>
            <w:ind/>
            <w:jc w:val="center"/>
            <w:rPr>
              <w:rFonts w:ascii="Times New Roman" w:hAnsi="Times New Roman"/>
              <w:sz w:val="16"/>
            </w:rPr>
          </w:pPr>
          <w:bookmarkStart w:id="1" w:name="SIGNERORG1"/>
          <w:r>
            <w:rPr>
              <w:rFonts w:ascii="Times New Roman" w:hAnsi="Times New Roman"/>
              <w:sz w:val="16"/>
            </w:rPr>
            <w:t>организация</w:t>
          </w:r>
          <w:bookmarkEnd w:id="1"/>
        </w:p>
        <w:p w14:paraId="06000000">
          <w:pPr>
            <w:widowControl w:val="0"/>
            <w:spacing w:after="60" w:line="240" w:lineRule="auto"/>
            <w:ind/>
            <w:rPr>
              <w:rFonts w:ascii="Times New Roman" w:hAnsi="Times New Roman"/>
              <w:sz w:val="16"/>
            </w:rPr>
          </w:pPr>
          <w:r>
            <w:rPr>
              <w:rFonts w:ascii="Times New Roman" w:hAnsi="Times New Roman"/>
              <w:sz w:val="16"/>
            </w:rPr>
            <w:t xml:space="preserve">  </w:t>
          </w:r>
          <w:bookmarkStart w:id="2" w:name="REGNUMSTAMP"/>
          <w:r>
            <w:rPr>
              <w:rFonts w:ascii="Times New Roman" w:hAnsi="Times New Roman"/>
              <w:sz w:val="16"/>
            </w:rPr>
            <w:t xml:space="preserve">№ </w:t>
          </w:r>
          <w:r>
            <w:rPr>
              <w:rFonts w:ascii="Times New Roman" w:hAnsi="Times New Roman"/>
              <w:color w:themeColor="text1" w:val="000000"/>
              <w:sz w:val="16"/>
            </w:rPr>
            <w:t>рег.номер</w:t>
          </w:r>
          <w:bookmarkEnd w:id="2"/>
        </w:p>
      </w:tc>
    </w:tr>
  </w:tbl>
  <w:p w14:paraId="07000000">
    <w:pPr>
      <w:pStyle w:val="Style_2"/>
      <w:widowControl w:val="0"/>
      <w:spacing w:after="60"/>
      <w:ind/>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0"/>
      <w:spacing w:after="160" w:line="264" w:lineRule="auto"/>
      <w:ind/>
    </w:pPr>
    <w:rPr>
      <w:sz w:val="22"/>
    </w:rPr>
  </w:style>
  <w:style w:default="1" w:styleId="Style_6_ch" w:type="character">
    <w:name w:val="Normal"/>
    <w:link w:val="Style_6"/>
    <w:rPr>
      <w:sz w:val="22"/>
    </w:rPr>
  </w:style>
  <w:style w:styleId="Style_7" w:type="paragraph">
    <w:name w:val="toc 2"/>
    <w:next w:val="Style_6"/>
    <w:link w:val="Style_7_ch"/>
    <w:uiPriority w:val="39"/>
    <w:pPr>
      <w:widowControl w:val="0"/>
      <w:ind w:firstLine="0" w:left="200"/>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widowControl w:val="0"/>
      <w:ind w:firstLine="0" w:left="600"/>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widowControl w:val="0"/>
      <w:ind w:firstLine="0" w:left="1000"/>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widowControl w:val="0"/>
      <w:ind w:firstLine="0" w:left="1200"/>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widowControl w:val="0"/>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6"/>
    <w:link w:val="Style_12_ch"/>
    <w:uiPriority w:val="9"/>
    <w:qFormat/>
    <w:pPr>
      <w:widowControl w:val="0"/>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Абзац списка2"/>
    <w:basedOn w:val="Style_6"/>
    <w:link w:val="Style_13_ch"/>
    <w:pPr>
      <w:widowControl w:val="0"/>
      <w:ind w:firstLine="0" w:left="720"/>
      <w:contextualSpacing w:val="1"/>
    </w:pPr>
  </w:style>
  <w:style w:styleId="Style_13_ch" w:type="character">
    <w:name w:val="Абзац списка2"/>
    <w:basedOn w:val="Style_6_ch"/>
    <w:link w:val="Style_13"/>
  </w:style>
  <w:style w:styleId="Style_14" w:type="paragraph">
    <w:name w:val="toc 3"/>
    <w:next w:val="Style_6"/>
    <w:link w:val="Style_14_ch"/>
    <w:uiPriority w:val="39"/>
    <w:pPr>
      <w:widowControl w:val="0"/>
      <w:ind w:firstLine="0" w:left="400"/>
    </w:pPr>
    <w:rPr>
      <w:rFonts w:ascii="XO Thames" w:hAnsi="XO Thames"/>
      <w:sz w:val="28"/>
    </w:rPr>
  </w:style>
  <w:style w:styleId="Style_14_ch" w:type="character">
    <w:name w:val="toc 3"/>
    <w:link w:val="Style_14"/>
    <w:rPr>
      <w:rFonts w:ascii="XO Thames" w:hAnsi="XO Thames"/>
      <w:sz w:val="28"/>
    </w:rPr>
  </w:style>
  <w:style w:styleId="Style_1" w:type="paragraph">
    <w:name w:val="header"/>
    <w:basedOn w:val="Style_6"/>
    <w:link w:val="Style_1_ch"/>
    <w:pPr>
      <w:widowControl w:val="0"/>
      <w:tabs>
        <w:tab w:leader="none" w:pos="4677" w:val="center"/>
        <w:tab w:leader="none" w:pos="9355" w:val="right"/>
      </w:tabs>
      <w:spacing w:after="0" w:line="240" w:lineRule="auto"/>
      <w:ind/>
    </w:pPr>
  </w:style>
  <w:style w:styleId="Style_1_ch" w:type="character">
    <w:name w:val="header"/>
    <w:basedOn w:val="Style_6_ch"/>
    <w:link w:val="Style_1"/>
  </w:style>
  <w:style w:styleId="Style_15" w:type="paragraph">
    <w:name w:val="heading 5"/>
    <w:next w:val="Style_6"/>
    <w:link w:val="Style_15_ch"/>
    <w:uiPriority w:val="9"/>
    <w:qFormat/>
    <w:pPr>
      <w:widowControl w:val="0"/>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Абзац списка1"/>
    <w:basedOn w:val="Style_6"/>
    <w:link w:val="Style_16_ch"/>
    <w:pPr>
      <w:widowControl w:val="0"/>
      <w:spacing w:line="252" w:lineRule="auto"/>
      <w:ind w:firstLine="0" w:left="720"/>
      <w:contextualSpacing w:val="1"/>
    </w:pPr>
  </w:style>
  <w:style w:styleId="Style_16_ch" w:type="character">
    <w:name w:val="Абзац списка1"/>
    <w:basedOn w:val="Style_6_ch"/>
    <w:link w:val="Style_16"/>
  </w:style>
  <w:style w:styleId="Style_17" w:type="paragraph">
    <w:name w:val="Основной шрифт абзаца1"/>
    <w:link w:val="Style_17_ch"/>
  </w:style>
  <w:style w:styleId="Style_17_ch" w:type="character">
    <w:name w:val="Основной шрифт абзаца1"/>
    <w:link w:val="Style_17"/>
  </w:style>
  <w:style w:styleId="Style_4" w:type="paragraph">
    <w:name w:val="heading 1"/>
    <w:basedOn w:val="Style_6"/>
    <w:next w:val="Style_6"/>
    <w:link w:val="Style_4_ch"/>
    <w:uiPriority w:val="9"/>
    <w:qFormat/>
    <w:pPr>
      <w:keepNext w:val="1"/>
      <w:keepLines w:val="1"/>
      <w:widowControl w:val="0"/>
      <w:spacing w:after="0" w:before="480"/>
      <w:ind/>
      <w:outlineLvl w:val="0"/>
    </w:pPr>
    <w:rPr>
      <w:rFonts w:ascii="Calibri Light" w:hAnsi="Calibri Light"/>
      <w:b w:val="1"/>
      <w:color w:val="2E74B5"/>
      <w:sz w:val="28"/>
    </w:rPr>
  </w:style>
  <w:style w:styleId="Style_4_ch" w:type="character">
    <w:name w:val="heading 1"/>
    <w:basedOn w:val="Style_6_ch"/>
    <w:link w:val="Style_4"/>
    <w:rPr>
      <w:rFonts w:ascii="Calibri Light" w:hAnsi="Calibri Light"/>
      <w:b w:val="1"/>
      <w:color w:val="2E74B5"/>
      <w:sz w:val="28"/>
    </w:rPr>
  </w:style>
  <w:style w:styleId="Style_2" w:type="paragraph">
    <w:name w:val="footer"/>
    <w:basedOn w:val="Style_6"/>
    <w:link w:val="Style_2_ch"/>
    <w:pPr>
      <w:widowControl w:val="0"/>
      <w:tabs>
        <w:tab w:leader="none" w:pos="4677" w:val="center"/>
        <w:tab w:leader="none" w:pos="9355" w:val="right"/>
      </w:tabs>
      <w:spacing w:after="0" w:line="240" w:lineRule="auto"/>
      <w:ind/>
    </w:pPr>
  </w:style>
  <w:style w:styleId="Style_2_ch" w:type="character">
    <w:name w:val="footer"/>
    <w:basedOn w:val="Style_6_ch"/>
    <w:link w:val="Style_2"/>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widowControl w:val="0"/>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6"/>
    <w:link w:val="Style_20_ch"/>
    <w:uiPriority w:val="39"/>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widowControl w:val="0"/>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6"/>
    <w:link w:val="Style_22_ch"/>
    <w:uiPriority w:val="39"/>
    <w:pPr>
      <w:widowControl w:val="0"/>
      <w:ind w:firstLine="0" w:left="1600"/>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6"/>
    <w:link w:val="Style_23_ch"/>
    <w:uiPriority w:val="39"/>
    <w:pPr>
      <w:widowControl w:val="0"/>
      <w:ind w:firstLine="0" w:left="1400"/>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6"/>
    <w:link w:val="Style_24_ch"/>
    <w:uiPriority w:val="39"/>
    <w:pPr>
      <w:widowControl w:val="0"/>
      <w:ind w:firstLine="0" w:left="800"/>
    </w:pPr>
    <w:rPr>
      <w:rFonts w:ascii="XO Thames" w:hAnsi="XO Thames"/>
      <w:sz w:val="28"/>
    </w:rPr>
  </w:style>
  <w:style w:styleId="Style_24_ch" w:type="character">
    <w:name w:val="toc 5"/>
    <w:link w:val="Style_24"/>
    <w:rPr>
      <w:rFonts w:ascii="XO Thames" w:hAnsi="XO Thames"/>
      <w:sz w:val="28"/>
    </w:rPr>
  </w:style>
  <w:style w:styleId="Style_25" w:type="paragraph">
    <w:name w:val="Обычный1"/>
    <w:link w:val="Style_25_ch"/>
    <w:rPr>
      <w:sz w:val="22"/>
    </w:rPr>
  </w:style>
  <w:style w:styleId="Style_25_ch" w:type="character">
    <w:name w:val="Обычный1"/>
    <w:link w:val="Style_25"/>
    <w:rPr>
      <w:sz w:val="22"/>
    </w:rPr>
  </w:style>
  <w:style w:styleId="Style_26" w:type="paragraph">
    <w:name w:val="Subtitle"/>
    <w:next w:val="Style_6"/>
    <w:link w:val="Style_26_ch"/>
    <w:uiPriority w:val="11"/>
    <w:qFormat/>
    <w:pPr>
      <w:widowControl w:val="0"/>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6"/>
    <w:link w:val="Style_27_ch"/>
    <w:uiPriority w:val="10"/>
    <w:qFormat/>
    <w:pPr>
      <w:widowControl w:val="0"/>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6"/>
    <w:link w:val="Style_28_ch"/>
    <w:uiPriority w:val="9"/>
    <w:qFormat/>
    <w:pPr>
      <w:widowControl w:val="0"/>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Default Paragraph Font"/>
    <w:link w:val="Style_29_ch"/>
  </w:style>
  <w:style w:styleId="Style_29_ch" w:type="character">
    <w:name w:val="Default Paragraph Font"/>
    <w:link w:val="Style_29"/>
  </w:style>
  <w:style w:styleId="Style_30" w:type="paragraph">
    <w:name w:val="heading 2"/>
    <w:next w:val="Style_6"/>
    <w:link w:val="Style_30_ch"/>
    <w:uiPriority w:val="9"/>
    <w:qFormat/>
    <w:pPr>
      <w:widowControl w:val="0"/>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paragraph">
    <w:name w:val="Гиперссылка1"/>
    <w:basedOn w:val="Style_17"/>
    <w:link w:val="Style_31_ch"/>
    <w:rPr>
      <w:color w:themeColor="hyperlink" w:val="0563C1"/>
      <w:u w:val="single"/>
    </w:rPr>
  </w:style>
  <w:style w:styleId="Style_31_ch" w:type="character">
    <w:name w:val="Гиперссылка1"/>
    <w:basedOn w:val="Style_17_ch"/>
    <w:link w:val="Style_31"/>
    <w:rPr>
      <w:color w:themeColor="hyperlink" w:val="0563C1"/>
      <w:u w:val="single"/>
    </w:rPr>
  </w:style>
  <w:style w:styleId="Style_5" w:type="table">
    <w:name w:val="Сетка таблицы3"/>
    <w:basedOn w:val="Style_3"/>
    <w:rPr>
      <w:color w:val="000000"/>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 w:type="table">
    <w:name w:val="Сетка таблицы2"/>
    <w:basedOn w:val="Style_3"/>
    <w:rPr>
      <w:color w:val="000000"/>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 w:type="table">
    <w:name w:val="Сетка таблицы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 w:styleId="Style_34"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footer2.xml" Type="http://schemas.openxmlformats.org/officeDocument/2006/relationships/footer"/>
  <Relationship Id="rId3" Target="media/1.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2026-05-14T14:49:55Z</dcterms:created>
  <dcterms:modified xsi:type="dcterms:W3CDTF">2026-05-14T14:49:55Z</dcterms:modified>
</cp:coreProperties>
</file>